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854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85424" w:rsidRDefault="00E6585D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385424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385424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5424" w:rsidRDefault="008971D6" w:rsidP="00DF72FE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EA1DC4" w:rsidRPr="00385424" w:rsidRDefault="00EA1D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A1DC4" w:rsidRPr="00385424" w:rsidRDefault="00EA1DC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385424" w:rsidRDefault="00EA1DC4" w:rsidP="00385424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385424" w:rsidRDefault="00083A57" w:rsidP="00316D3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8542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854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1.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порубочного билета</w:t>
            </w:r>
          </w:p>
          <w:p w:rsidR="00BD3B91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385424">
              <w:rPr>
                <w:rFonts w:ascii="Times New Roman" w:hAnsi="Times New Roman" w:cs="Times New Roman"/>
              </w:rPr>
              <w:t xml:space="preserve"> в МФЦ</w:t>
            </w:r>
            <w:r w:rsidR="0070015D" w:rsidRPr="00385424">
              <w:rPr>
                <w:rFonts w:ascii="Times New Roman" w:hAnsi="Times New Roman" w:cs="Times New Roman"/>
              </w:rPr>
              <w:t>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385424" w:rsidRDefault="0070015D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BD28FA" w:rsidRPr="00385424">
              <w:rPr>
                <w:rFonts w:ascii="Times New Roman" w:hAnsi="Times New Roman" w:cs="Times New Roman"/>
              </w:rPr>
              <w:t xml:space="preserve">единый </w:t>
            </w:r>
            <w:r w:rsidR="006E4E03" w:rsidRPr="00385424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85424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83A57" w:rsidRPr="00385424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 w:rsidR="00D328E5" w:rsidRPr="00385424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ост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новл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ост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новл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юр.лица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385424" w:rsidRDefault="00E728F6" w:rsidP="00E752C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  <w:r w:rsidR="00E32C31" w:rsidRPr="003854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27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шлины), в том числе для МФЦ</w:t>
            </w:r>
            <w:r w:rsidR="001710B7" w:rsidRPr="00385424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385424">
              <w:rPr>
                <w:rFonts w:ascii="Times New Roman" w:hAnsi="Times New Roman" w:cs="Times New Roman"/>
                <w:b/>
              </w:rPr>
              <w:t>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 xml:space="preserve">явления  </w:t>
            </w:r>
            <w:r w:rsidRPr="00385424">
              <w:rPr>
                <w:rFonts w:ascii="Times New Roman" w:hAnsi="Times New Roman" w:cs="Times New Roman"/>
              </w:rPr>
              <w:lastRenderedPageBreak/>
              <w:t>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ждением или уничтожением зеленых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смотренных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ствующим зак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нодательством;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несоответствие документов или сведений в них содержащихся фактическим </w:t>
            </w:r>
            <w:r w:rsidRPr="00385424">
              <w:rPr>
                <w:rFonts w:ascii="Times New Roman" w:hAnsi="Times New Roman" w:cs="Times New Roman"/>
              </w:rPr>
              <w:lastRenderedPageBreak/>
              <w:t>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местного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определ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ется путём расчёта компенс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ционной стоимости   зелёных насаждений</w:t>
            </w:r>
          </w:p>
        </w:tc>
        <w:tc>
          <w:tcPr>
            <w:tcW w:w="1134" w:type="dxa"/>
          </w:tcPr>
          <w:p w:rsidR="008F7586" w:rsidRPr="00385424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lastRenderedPageBreak/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местного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имости   зелёных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государ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свенных</w:t>
            </w:r>
            <w:proofErr w:type="spellEnd"/>
            <w:r w:rsidRPr="00385424">
              <w:rPr>
                <w:rFonts w:ascii="Times New Roman" w:hAnsi="Times New Roman" w:cs="Times New Roman"/>
              </w:rPr>
              <w:t xml:space="preserve"> 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lastRenderedPageBreak/>
              <w:t>ниципальных услуг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385424" w:rsidRDefault="00505D72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явителя соотве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ствующей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подтвержд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ствующей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385424">
              <w:rPr>
                <w:rFonts w:ascii="Times New Roman" w:hAnsi="Times New Roman" w:cs="Times New Roman"/>
                <w:b/>
              </w:rPr>
              <w:t>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</w:t>
            </w:r>
            <w:r w:rsidR="004F7F62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пр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во лица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имени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юр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дического лица (копия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решения о назначении лица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лицом,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жать подпись дол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ностного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готовившего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дату составл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 документа;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формацию о праве физического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 действовать от имени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заявителя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 xml:space="preserve">лением услуги. Не должен содержать </w:t>
            </w:r>
            <w:r w:rsidRPr="00D8209D">
              <w:rPr>
                <w:rFonts w:ascii="Times New Roman" w:hAnsi="Times New Roman" w:cs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ствующей на момент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ращения (при этом нео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доверенность, в которой </w:t>
            </w:r>
            <w:r w:rsidRPr="00385424">
              <w:rPr>
                <w:rFonts w:ascii="Times New Roman" w:hAnsi="Times New Roman" w:cs="Times New Roman"/>
              </w:rPr>
              <w:lastRenderedPageBreak/>
              <w:t>не указан срок ее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ствия, действительна в течение одного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656535"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года с момента ее </w:t>
            </w:r>
            <w:r w:rsidRPr="00385424">
              <w:rPr>
                <w:rFonts w:ascii="Times New Roman" w:hAnsi="Times New Roman" w:cs="Times New Roman"/>
              </w:rPr>
              <w:lastRenderedPageBreak/>
              <w:t>выдачи)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пр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во лица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имени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юр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дического лица (копия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решения о назначении лица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лицом,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жать подпись дол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ностного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готовившего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дату составл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 документа;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формацию о праве физического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лица действовать от имени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заявителя без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действ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ющее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от имени заявителя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ли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или иного лица, уполн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моченного на это. 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 xml:space="preserve">доверенности. 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ствующей на момент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ращения (при этом нео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ходимо иметь в виду, что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доверенность, в которой не указан срок ее де</w:t>
            </w:r>
            <w:r w:rsidRPr="00385424">
              <w:rPr>
                <w:rFonts w:ascii="Times New Roman" w:hAnsi="Times New Roman" w:cs="Times New Roman"/>
              </w:rPr>
              <w:t>й</w:t>
            </w:r>
            <w:r w:rsidRPr="00385424">
              <w:rPr>
                <w:rFonts w:ascii="Times New Roman" w:hAnsi="Times New Roman" w:cs="Times New Roman"/>
              </w:rPr>
              <w:t>ствия, действительна в течение одного</w:t>
            </w:r>
            <w:r w:rsidR="001C2B69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</w:rPr>
              <w:t>года с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385424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43FFA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385424">
              <w:rPr>
                <w:rFonts w:ascii="Times New Roman" w:hAnsi="Times New Roman" w:cs="Times New Roman"/>
                <w:b/>
              </w:rPr>
              <w:t>по</w:t>
            </w:r>
            <w:r w:rsidR="00043FFA" w:rsidRPr="00385424">
              <w:rPr>
                <w:rFonts w:ascii="Times New Roman" w:hAnsi="Times New Roman" w:cs="Times New Roman"/>
                <w:b/>
              </w:rPr>
              <w:t>д</w:t>
            </w:r>
            <w:r w:rsidR="00043FFA"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385424">
              <w:rPr>
                <w:rFonts w:ascii="Times New Roman" w:hAnsi="Times New Roman" w:cs="Times New Roman"/>
                <w:b/>
              </w:rPr>
              <w:t>»</w:t>
            </w:r>
            <w:r w:rsidR="00C7681B" w:rsidRPr="00385424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385424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85424" w:rsidRDefault="001C2B6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Заявление на оказание </w:t>
            </w:r>
            <w:r w:rsidRPr="00385424">
              <w:rPr>
                <w:rFonts w:ascii="Times New Roman" w:hAnsi="Times New Roman" w:cs="Times New Roman"/>
              </w:rPr>
              <w:lastRenderedPageBreak/>
              <w:t>услуги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</w:t>
            </w:r>
            <w:r w:rsidR="001C2B69">
              <w:rPr>
                <w:rFonts w:ascii="Times New Roman" w:hAnsi="Times New Roman" w:cs="Times New Roman"/>
              </w:rPr>
              <w:lastRenderedPageBreak/>
              <w:t>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 нет</w:t>
            </w:r>
          </w:p>
        </w:tc>
        <w:tc>
          <w:tcPr>
            <w:tcW w:w="269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681B" w:rsidRPr="00385424" w:rsidRDefault="001C2B69" w:rsidP="005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385424" w:rsidRDefault="00A87EF7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  <w:r w:rsidR="00C7681B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9"/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мационного вза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3854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щего</w:t>
            </w:r>
            <w:r w:rsidR="008202EC"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(ей) </w:t>
            </w:r>
            <w:r w:rsidRPr="00385424">
              <w:rPr>
                <w:rFonts w:ascii="Times New Roman" w:hAnsi="Times New Roman" w:cs="Times New Roman"/>
                <w:b/>
              </w:rPr>
              <w:t>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ственный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(ой)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EA1DC4" w:rsidRPr="00385424">
              <w:rPr>
                <w:rFonts w:ascii="Times New Roman" w:hAnsi="Times New Roman" w:cs="Times New Roman"/>
                <w:b/>
              </w:rPr>
              <w:t>м</w:t>
            </w:r>
            <w:r w:rsidR="00EA1DC4" w:rsidRPr="00385424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EA1DC4" w:rsidRPr="00385424">
              <w:rPr>
                <w:rFonts w:ascii="Times New Roman" w:hAnsi="Times New Roman" w:cs="Times New Roman"/>
                <w:b/>
              </w:rPr>
              <w:t>м</w:t>
            </w:r>
            <w:r w:rsidR="00EA1DC4" w:rsidRPr="00385424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F2A4B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10"/>
      </w:r>
    </w:p>
    <w:tbl>
      <w:tblPr>
        <w:tblStyle w:val="a3"/>
        <w:tblW w:w="15108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EA1DC4" w:rsidRPr="00385424">
              <w:rPr>
                <w:rFonts w:ascii="Times New Roman" w:hAnsi="Times New Roman" w:cs="Times New Roman"/>
                <w:b/>
              </w:rPr>
              <w:t>по</w:t>
            </w:r>
            <w:r w:rsidR="00EA1DC4" w:rsidRPr="00385424">
              <w:rPr>
                <w:rFonts w:ascii="Times New Roman" w:hAnsi="Times New Roman" w:cs="Times New Roman"/>
                <w:b/>
              </w:rPr>
              <w:t>д</w:t>
            </w:r>
            <w:r w:rsidR="00EA1DC4"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EA1DC4"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E7DBA"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94FA6" w:rsidRPr="00385424" w:rsidRDefault="001E7DBA" w:rsidP="001E7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 xml:space="preserve">Выдача разрешения на </w:t>
            </w:r>
            <w:r w:rsidRPr="00385424">
              <w:lastRenderedPageBreak/>
              <w:t>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>
              <w:rPr>
                <w:rFonts w:ascii="Times New Roman" w:hAnsi="Times New Roman"/>
              </w:rPr>
              <w:lastRenderedPageBreak/>
              <w:t>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lastRenderedPageBreak/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lastRenderedPageBreak/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A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A83585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385424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  <w:r w:rsidR="001E7DBA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="00981663" w:rsidRPr="00385424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ющим требованиям: документы в установленных законодател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lastRenderedPageBreak/>
              <w:t>ством случаях нотариально удостоверены, скреплены печ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тями, имеют надлежащие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писи определенных законод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тельством должностных лиц; в документах нет подчисток, приписок, зачеркнутых слов и 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1 раб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</w:t>
            </w:r>
            <w:r w:rsidR="008128E8" w:rsidRPr="00385424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81663" w:rsidRPr="00385424">
              <w:rPr>
                <w:rFonts w:ascii="Times New Roman" w:hAnsi="Times New Roman" w:cs="Times New Roman"/>
              </w:rPr>
              <w:t>,</w:t>
            </w:r>
            <w:proofErr w:type="gramEnd"/>
            <w:r w:rsidR="00981663" w:rsidRPr="00385424">
              <w:rPr>
                <w:rFonts w:ascii="Times New Roman" w:hAnsi="Times New Roman" w:cs="Times New Roman"/>
              </w:rPr>
              <w:t xml:space="preserve"> отве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1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="00E3767E"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случае отсутствия оснований для отказа  производит расчёт 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 xml:space="preserve">осле подтверждения платежа </w:t>
            </w:r>
            <w:r w:rsidR="008128E8" w:rsidRPr="00385424">
              <w:rPr>
                <w:rFonts w:ascii="Times New Roman" w:hAnsi="Times New Roman" w:cs="Times New Roman"/>
              </w:rPr>
              <w:lastRenderedPageBreak/>
              <w:t>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>ливает порубочный билет и 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24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r w:rsidRPr="00385424">
              <w:rPr>
                <w:rFonts w:ascii="Times New Roman" w:hAnsi="Times New Roman" w:cs="Times New Roman"/>
                <w:b/>
              </w:rPr>
              <w:t xml:space="preserve"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обеспечивает регистрацию утвержденного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ставлении муниципальной услуги.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3 кален.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пред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старников либо уведомления о мотивированном отказе в предоставлении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указанные документы напра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ляются заявителю в течение одного календарного дня по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товым отправлением с уведо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лением о вручении по адресу, указанному в заявлении.</w:t>
            </w:r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5424">
              <w:rPr>
                <w:rFonts w:ascii="Times New Roman" w:hAnsi="Times New Roman" w:cs="Times New Roman"/>
              </w:rPr>
              <w:t>дн</w:t>
            </w:r>
            <w:proofErr w:type="spellEnd"/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85424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4E7B41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385424">
              <w:rPr>
                <w:rFonts w:ascii="Times New Roman" w:hAnsi="Times New Roman" w:cs="Times New Roman"/>
                <w:b/>
              </w:rPr>
              <w:t xml:space="preserve"> 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Pr="00385424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385424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Pr="00385424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  <w:bookmarkStart w:id="1" w:name="_GoBack"/>
            <w:bookmarkEnd w:id="1"/>
            <w:r w:rsidR="00A45256" w:rsidRPr="00385424">
              <w:rPr>
                <w:rStyle w:val="af"/>
                <w:rFonts w:ascii="Times New Roman" w:hAnsi="Times New Roman" w:cs="Times New Roman"/>
                <w:b/>
              </w:rPr>
              <w:footnoteReference w:id="13"/>
            </w:r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385424">
              <w:rPr>
                <w:rFonts w:ascii="Times New Roman" w:hAnsi="Times New Roman" w:cs="Times New Roman"/>
              </w:rPr>
              <w:t>на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85424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385424">
              <w:rPr>
                <w:rFonts w:ascii="Times New Roman" w:hAnsi="Times New Roman" w:cs="Times New Roman"/>
              </w:rPr>
              <w:t xml:space="preserve">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ударственных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F7145" w:rsidP="00E728F6">
      <w:pPr>
        <w:pStyle w:val="ConsPlusNormal"/>
        <w:jc w:val="right"/>
      </w:pPr>
      <w:r w:rsidRPr="00385424">
        <w:t xml:space="preserve"> </w:t>
      </w:r>
      <w:r w:rsidR="00E728F6"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proofErr w:type="gramStart"/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  <w:proofErr w:type="gramEnd"/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Требование, обязательное к выполнению: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_________________ сельского пос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</w:t>
            </w:r>
            <w:proofErr w:type="gramStart"/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)</w:t>
            </w:r>
            <w:proofErr w:type="gramEnd"/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E5" w:rsidRDefault="005619E5" w:rsidP="00D328E5">
      <w:pPr>
        <w:spacing w:after="0" w:line="240" w:lineRule="auto"/>
      </w:pPr>
      <w:r>
        <w:separator/>
      </w:r>
    </w:p>
  </w:endnote>
  <w:endnote w:type="continuationSeparator" w:id="0">
    <w:p w:rsidR="005619E5" w:rsidRDefault="005619E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E5" w:rsidRDefault="005619E5" w:rsidP="00D328E5">
      <w:pPr>
        <w:spacing w:after="0" w:line="240" w:lineRule="auto"/>
      </w:pPr>
      <w:r>
        <w:separator/>
      </w:r>
    </w:p>
  </w:footnote>
  <w:footnote w:type="continuationSeparator" w:id="0">
    <w:p w:rsidR="005619E5" w:rsidRDefault="005619E5" w:rsidP="00D328E5">
      <w:pPr>
        <w:spacing w:after="0" w:line="240" w:lineRule="auto"/>
      </w:pPr>
      <w:r>
        <w:continuationSeparator/>
      </w:r>
    </w:p>
  </w:footnote>
  <w:footnote w:id="1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385424" w:rsidRPr="00385424" w:rsidRDefault="00385424" w:rsidP="005B5D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42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385424">
        <w:rPr>
          <w:rFonts w:ascii="Times New Roman" w:hAnsi="Times New Roman" w:cs="Times New Roman"/>
          <w:sz w:val="20"/>
          <w:szCs w:val="20"/>
        </w:rPr>
        <w:t xml:space="preserve">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</w:t>
      </w:r>
      <w:r w:rsidRPr="00385424">
        <w:rPr>
          <w:rFonts w:ascii="Times New Roman" w:hAnsi="Times New Roman" w:cs="Times New Roman"/>
          <w:sz w:val="20"/>
          <w:szCs w:val="20"/>
        </w:rPr>
        <w:t>а</w:t>
      </w:r>
      <w:r w:rsidRPr="00385424">
        <w:rPr>
          <w:rFonts w:ascii="Times New Roman" w:hAnsi="Times New Roman" w:cs="Times New Roman"/>
          <w:sz w:val="20"/>
          <w:szCs w:val="20"/>
        </w:rPr>
        <w:t xml:space="preserve">тивно – правовых актах об охране зелёных насаждений. </w:t>
      </w:r>
    </w:p>
  </w:footnote>
  <w:footnote w:id="5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Методика расчёта компенсационной стоимости зелёных насаждений устанавливается ОМСУ в соответствии со ст. 61 № 7-ФЗ «Об охране окружающей среды» от 10.01.2002 г.</w:t>
      </w:r>
    </w:p>
  </w:footnote>
  <w:footnote w:id="6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КБК для взимания платы указывается самостоятельно муниципальным образованием.</w:t>
      </w:r>
    </w:p>
  </w:footnote>
  <w:footnote w:id="7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Исчерпывающий перечень документов (кроме заявления), необходимых для предоставления муниципальной услуги, подлежащих представлению заявителем,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 документы на земельный участок, право на который не зарегистрировано в установленном законом порядке, предписания контрольных органов о необходимости рубки и иные документы</w:t>
      </w:r>
    </w:p>
  </w:footnote>
  <w:footnote w:id="8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</w:t>
      </w:r>
      <w:r w:rsidR="001C2B69">
        <w:rPr>
          <w:rFonts w:ascii="Times New Roman" w:hAnsi="Times New Roman" w:cs="Times New Roman"/>
        </w:rPr>
        <w:t>Образец заявления приводятся органом, предоставляющим услугу</w:t>
      </w:r>
    </w:p>
  </w:footnote>
  <w:footnote w:id="9"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</w:rPr>
        <w:footnoteRef/>
      </w:r>
      <w:r w:rsidRPr="001C2B69">
        <w:t xml:space="preserve"> </w:t>
      </w:r>
      <w:r w:rsidRPr="001C2B69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</w:t>
      </w:r>
      <w:r w:rsidRPr="001C2B69">
        <w:rPr>
          <w:rFonts w:ascii="Times New Roman" w:hAnsi="Times New Roman" w:cs="Times New Roman"/>
        </w:rPr>
        <w:t>т</w:t>
      </w:r>
      <w:r w:rsidRPr="001C2B69">
        <w:rPr>
          <w:rFonts w:ascii="Times New Roman" w:hAnsi="Times New Roman" w:cs="Times New Roman"/>
        </w:rPr>
        <w:t>ся в распоряжении государственных органов, органов местного самоуправления и иных организаций, участвующих в предоставлении муниципальной услуги,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быть: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 xml:space="preserve"> -при реализации проектов строительства, реконструкции зданий, строений, инженерных сетей, сооружений, благоустройства территорий  – копии правоустанавлива</w:t>
      </w:r>
      <w:r w:rsidRPr="001C2B69">
        <w:rPr>
          <w:rFonts w:ascii="Times New Roman" w:hAnsi="Times New Roman" w:cs="Times New Roman"/>
        </w:rPr>
        <w:t>ю</w:t>
      </w:r>
      <w:r w:rsidRPr="001C2B69">
        <w:rPr>
          <w:rFonts w:ascii="Times New Roman" w:hAnsi="Times New Roman" w:cs="Times New Roman"/>
        </w:rPr>
        <w:t>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 xml:space="preserve">ной в установленном порядке; 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-при аварийных ситуациях и ликвидации их последствий –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компетенции;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-в целях обеспечения нормативного светового режима в жилых и нежилых помещениях, затененных зелеными насаждениями – предписание (заключение или результ</w:t>
      </w:r>
      <w:r w:rsidRPr="001C2B69">
        <w:rPr>
          <w:rFonts w:ascii="Times New Roman" w:hAnsi="Times New Roman" w:cs="Times New Roman"/>
        </w:rPr>
        <w:t>а</w:t>
      </w:r>
      <w:r w:rsidRPr="001C2B69">
        <w:rPr>
          <w:rFonts w:ascii="Times New Roman" w:hAnsi="Times New Roman" w:cs="Times New Roman"/>
        </w:rPr>
        <w:t>ты замеров освещенности) органов государственного санитарно-эпидемиологического надзора;</w:t>
      </w:r>
    </w:p>
    <w:p w:rsidR="00385424" w:rsidRPr="001C2B69" w:rsidRDefault="00385424" w:rsidP="00C7681B">
      <w:pPr>
        <w:pStyle w:val="ad"/>
      </w:pPr>
      <w:r w:rsidRPr="001C2B69">
        <w:rPr>
          <w:rFonts w:ascii="Times New Roman" w:hAnsi="Times New Roman" w:cs="Times New Roman"/>
        </w:rPr>
        <w:t>-при необходимости пересадки зеленых насаждений и выполнения требований по компенсационному озеленению – проект благоустройства и озеленения, согласова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>ный в установленном порядке</w:t>
      </w:r>
    </w:p>
  </w:footnote>
  <w:footnote w:id="10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Требования к документам, формы мотивированных отказов и образцы документов, являющихся результатом услуги, указываются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1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Технологические процессы предоставления «</w:t>
      </w:r>
      <w:proofErr w:type="spellStart"/>
      <w:r w:rsidRPr="001E7DBA">
        <w:rPr>
          <w:rFonts w:ascii="Times New Roman" w:hAnsi="Times New Roman" w:cs="Times New Roman"/>
        </w:rPr>
        <w:t>подуслуг</w:t>
      </w:r>
      <w:proofErr w:type="spellEnd"/>
      <w:r w:rsidRPr="001E7DBA">
        <w:rPr>
          <w:rFonts w:ascii="Times New Roman" w:hAnsi="Times New Roman" w:cs="Times New Roman"/>
        </w:rPr>
        <w:t xml:space="preserve">» идентичны </w:t>
      </w:r>
    </w:p>
  </w:footnote>
  <w:footnote w:id="13">
    <w:p w:rsidR="00385424" w:rsidRPr="001E7DBA" w:rsidRDefault="00385424" w:rsidP="00A45256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1E7DBA">
        <w:rPr>
          <w:rFonts w:ascii="Times New Roman" w:hAnsi="Times New Roman" w:cs="Times New Roman"/>
        </w:rPr>
        <w:t>подуслуг</w:t>
      </w:r>
      <w:proofErr w:type="spellEnd"/>
      <w:r w:rsidRPr="001E7DBA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94576"/>
    <w:rsid w:val="001A712D"/>
    <w:rsid w:val="001C2B69"/>
    <w:rsid w:val="001D1545"/>
    <w:rsid w:val="001E7DB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85424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619E5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3814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8209D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A6F"/>
    <w:rsid w:val="00EF7145"/>
    <w:rsid w:val="00F33C30"/>
    <w:rsid w:val="00F35B15"/>
    <w:rsid w:val="00FB67BA"/>
    <w:rsid w:val="00FD5847"/>
    <w:rsid w:val="00FE0394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2D9B-8E14-49ED-8548-B5BCE206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21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54</cp:revision>
  <dcterms:created xsi:type="dcterms:W3CDTF">2015-09-01T14:06:00Z</dcterms:created>
  <dcterms:modified xsi:type="dcterms:W3CDTF">2016-11-25T12:40:00Z</dcterms:modified>
</cp:coreProperties>
</file>