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ED1AE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D1A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ост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новл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D1AE5">
              <w:rPr>
                <w:rFonts w:ascii="Times New Roman" w:hAnsi="Times New Roman" w:cs="Times New Roman"/>
                <w:b/>
              </w:rPr>
              <w:t>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</w:t>
            </w:r>
            <w:r w:rsidRPr="00ED1AE5">
              <w:rPr>
                <w:rFonts w:ascii="Times New Roman" w:hAnsi="Times New Roman" w:cs="Times New Roman"/>
              </w:rPr>
              <w:lastRenderedPageBreak/>
              <w:t>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ствие схемы расположения земельного участка ее фо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стоположением земельного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участка, образ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емого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ранее принятым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шением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участка, срок действия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го участка с нарушением </w:t>
            </w:r>
            <w:r w:rsidR="008A1BCF" w:rsidRPr="00ED1AE5">
              <w:rPr>
                <w:rFonts w:ascii="Times New Roman" w:hAnsi="Times New Roman" w:cs="Times New Roman"/>
              </w:rPr>
              <w:t>требований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утвержденному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вание которого 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чистки;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участка с нар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шением требов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ний Земельного кодекса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вание которого предусмотрено схемой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в 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цах территории, для которой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утвержден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не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новлено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или ра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решенное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ED1AE5">
              <w:rPr>
                <w:rFonts w:ascii="Times New Roman" w:hAnsi="Times New Roman" w:cs="Times New Roman"/>
              </w:rPr>
              <w:t>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 xml:space="preserve">- на земельном </w:t>
            </w:r>
            <w:r w:rsidRPr="00ED1AE5">
              <w:rPr>
                <w:rFonts w:ascii="Times New Roman" w:hAnsi="Times New Roman" w:cs="Times New Roman"/>
              </w:rPr>
              <w:lastRenderedPageBreak/>
              <w:t>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lastRenderedPageBreak/>
              <w:t>ственной или муниципальной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участком;</w:t>
            </w:r>
            <w:proofErr w:type="gramEnd"/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ствии с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жденными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ториального пл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нирования и (или) документ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по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ровке территории предназначен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отношении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земельного участка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поступ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ло заявление о предварительном согласовании его предоставления или заявление о предоставлении земельного участка, за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ключением 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чаев, если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то решение об отказе в предв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рительном согл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совании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такого земельного участка или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шение об отказе в его предоставл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сток является земельным участком общего пользования или расположен в границах земель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территории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</w:t>
            </w:r>
            <w:proofErr w:type="gramStart"/>
            <w:r w:rsidRPr="00ED1AE5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ED1AE5">
              <w:rPr>
                <w:rFonts w:ascii="Times New Roman" w:hAnsi="Times New Roman" w:cs="Times New Roman"/>
              </w:rPr>
              <w:t>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ждении ранее </w:t>
            </w:r>
            <w:r w:rsidRPr="00ED1AE5">
              <w:rPr>
                <w:rFonts w:ascii="Times New Roman" w:hAnsi="Times New Roman" w:cs="Times New Roman"/>
              </w:rPr>
              <w:lastRenderedPageBreak/>
              <w:t>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ленной 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ствующей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</w:t>
            </w:r>
            <w:r w:rsidRPr="00273AD6">
              <w:rPr>
                <w:rFonts w:ascii="Times New Roman" w:hAnsi="Times New Roman" w:cs="Times New Roman"/>
                <w:b/>
              </w:rPr>
              <w:t>н</w:t>
            </w:r>
            <w:r w:rsidRPr="00273AD6">
              <w:rPr>
                <w:rFonts w:ascii="Times New Roman" w:hAnsi="Times New Roman" w:cs="Times New Roman"/>
                <w:b/>
              </w:rPr>
              <w:t>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ED1AE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ющее от имени заявителя на 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ствующей на момент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ращения (при этом нео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 xml:space="preserve">пляров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мразвития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</w:t>
            </w:r>
            <w:proofErr w:type="spellEnd"/>
            <w:r w:rsidRPr="00ED1AE5">
              <w:rPr>
                <w:rFonts w:ascii="Times New Roman" w:hAnsi="Times New Roman" w:cs="Times New Roman"/>
              </w:rPr>
              <w:t xml:space="preserve">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естре прав на недв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жимое имущество и сделок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сток, приписок, зачеркн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тых слов и других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proofErr w:type="gramStart"/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участков, расположенных в границах населенных пунктов</w:t>
            </w:r>
            <w:proofErr w:type="gramEnd"/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C5898"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8C5898" w:rsidRPr="00ED1AE5">
              <w:rPr>
                <w:rFonts w:ascii="Times New Roman" w:hAnsi="Times New Roman" w:cs="Times New Roman"/>
                <w:b/>
              </w:rPr>
              <w:t>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8C5898" w:rsidRPr="00ED1AE5">
              <w:rPr>
                <w:rFonts w:ascii="Times New Roman" w:hAnsi="Times New Roman" w:cs="Times New Roman"/>
                <w:b/>
              </w:rPr>
              <w:t>м</w:t>
            </w:r>
            <w:r w:rsidR="008C5898"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</w:t>
            </w:r>
            <w:r w:rsidRPr="00273AD6">
              <w:rPr>
                <w:rFonts w:ascii="Times New Roman" w:hAnsi="Times New Roman" w:cs="Times New Roman"/>
                <w:b/>
              </w:rPr>
              <w:t>н</w:t>
            </w:r>
            <w:r w:rsidRPr="00273AD6">
              <w:rPr>
                <w:rFonts w:ascii="Times New Roman" w:hAnsi="Times New Roman" w:cs="Times New Roman"/>
                <w:b/>
              </w:rPr>
              <w:t>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участка или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ровая выписка о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мельном участке (в случае раздела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участка, который находится в муниципальной со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ственности (госуда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ственная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ность на который не разграничена)  и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предоставлен на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ве постоянного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ния, аренды или бе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возмездного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лата </w:t>
            </w:r>
            <w:proofErr w:type="spellStart"/>
            <w:r w:rsidRPr="00ED1AE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1AE5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явл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«по</w:t>
            </w:r>
            <w:r w:rsidR="008C5898" w:rsidRPr="00ED1AE5">
              <w:rPr>
                <w:rFonts w:ascii="Times New Roman" w:hAnsi="Times New Roman" w:cs="Times New Roman"/>
                <w:b/>
              </w:rPr>
              <w:t>д</w:t>
            </w:r>
            <w:r w:rsidR="008C5898" w:rsidRPr="00ED1AE5">
              <w:rPr>
                <w:rFonts w:ascii="Times New Roman" w:hAnsi="Times New Roman" w:cs="Times New Roman"/>
                <w:b/>
              </w:rPr>
              <w:t>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ставлен на праве постоя</w:t>
            </w:r>
            <w:r w:rsidRPr="00273AD6">
              <w:rPr>
                <w:rFonts w:ascii="Times New Roman" w:hAnsi="Times New Roman" w:cs="Times New Roman"/>
                <w:b/>
              </w:rPr>
              <w:t>н</w:t>
            </w:r>
            <w:r w:rsidRPr="00273AD6">
              <w:rPr>
                <w:rFonts w:ascii="Times New Roman" w:hAnsi="Times New Roman" w:cs="Times New Roman"/>
                <w:b/>
              </w:rPr>
              <w:t>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непосредственно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страцией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лю посредством электронной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действ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домления об отказе в предоставлении муниципальной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пред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AC2F49"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C2F49"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="00AC2F49"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="00AC2F49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ED1AE5">
              <w:rPr>
                <w:rFonts w:ascii="Times New Roman" w:hAnsi="Times New Roman" w:cs="Times New Roman"/>
                <w:b/>
              </w:rPr>
              <w:t>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при наличии оснований для отказа в приеме документов в случае  личного обращения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явителя в администрацию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или МФЦ специалист  уведомляет заявителя  о наличии препя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администрация выдает (направляет) заявителю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 приостановлении предоставления муниципальной услуги - в течение 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ставления муниципальной услуги рассматривает заявление с прилагаемыми к нему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ментами на комплектность и соответствие требованиям де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ствующего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</w:t>
            </w:r>
            <w:proofErr w:type="gramStart"/>
            <w:r w:rsidRPr="00ED1AE5">
              <w:rPr>
                <w:rFonts w:ascii="Times New Roman" w:hAnsi="Times New Roman" w:cs="Times New Roman"/>
              </w:rPr>
              <w:t>.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1AE5">
              <w:rPr>
                <w:rFonts w:ascii="Times New Roman" w:hAnsi="Times New Roman" w:cs="Times New Roman"/>
              </w:rPr>
              <w:t>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либо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ления об отказе в предоставлении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участка на кадастровом плане территории  либо о подготовке уведомления об отказе в пред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</w:t>
            </w:r>
            <w:proofErr w:type="gramStart"/>
            <w:r w:rsidRPr="00ED1AE5">
              <w:rPr>
                <w:rFonts w:ascii="Times New Roman" w:hAnsi="Times New Roman" w:cs="Times New Roman"/>
              </w:rPr>
              <w:t>.д</w:t>
            </w:r>
            <w:proofErr w:type="gramEnd"/>
            <w:r w:rsidRPr="00ED1AE5">
              <w:rPr>
                <w:rFonts w:ascii="Times New Roman" w:hAnsi="Times New Roman" w:cs="Times New Roman"/>
              </w:rPr>
              <w:t>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</w:t>
            </w:r>
            <w:r w:rsidRPr="00273AD6">
              <w:rPr>
                <w:rFonts w:ascii="Times New Roman" w:hAnsi="Times New Roman" w:cs="Times New Roman"/>
                <w:b/>
              </w:rPr>
              <w:t>н</w:t>
            </w:r>
            <w:r w:rsidRPr="00273AD6">
              <w:rPr>
                <w:rFonts w:ascii="Times New Roman" w:hAnsi="Times New Roman" w:cs="Times New Roman"/>
                <w:b/>
              </w:rPr>
              <w:t>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 w:cs="Times New Roman"/>
              </w:rPr>
              <w:t>на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ED1AE5">
              <w:rPr>
                <w:rFonts w:ascii="Times New Roman" w:hAnsi="Times New Roman" w:cs="Times New Roman"/>
              </w:rPr>
              <w:t xml:space="preserve">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 xml:space="preserve">ственных и муниципальных услуг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 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в количестве ___ экз., на 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"__" ___________ ____ </w:t>
            </w:r>
            <w:proofErr w:type="gramStart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З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________________ экземпляров </w:t>
      </w: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  <w:proofErr w:type="gramEnd"/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78" w:rsidRDefault="00271478" w:rsidP="00D328E5">
      <w:pPr>
        <w:spacing w:after="0" w:line="240" w:lineRule="auto"/>
      </w:pPr>
      <w:r>
        <w:separator/>
      </w:r>
    </w:p>
  </w:endnote>
  <w:endnote w:type="continuationSeparator" w:id="0">
    <w:p w:rsidR="00271478" w:rsidRDefault="00271478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78" w:rsidRDefault="00271478" w:rsidP="00D328E5">
      <w:pPr>
        <w:spacing w:after="0" w:line="240" w:lineRule="auto"/>
      </w:pPr>
      <w:r>
        <w:separator/>
      </w:r>
    </w:p>
  </w:footnote>
  <w:footnote w:type="continuationSeparator" w:id="0">
    <w:p w:rsidR="00271478" w:rsidRDefault="00271478" w:rsidP="00D328E5">
      <w:pPr>
        <w:spacing w:after="0" w:line="240" w:lineRule="auto"/>
      </w:pPr>
      <w:r>
        <w:continuationSeparator/>
      </w:r>
    </w:p>
  </w:footnote>
  <w:footnote w:id="1">
    <w:p w:rsidR="00C949BA" w:rsidRPr="00E752C6" w:rsidRDefault="00C949BA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E752C6">
        <w:rPr>
          <w:rFonts w:ascii="Times New Roman" w:hAnsi="Times New Roman" w:cs="Times New Roman"/>
        </w:rP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C949BA" w:rsidRDefault="00C949B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C949BA" w:rsidRDefault="00C949B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C949BA" w:rsidRPr="004103F2" w:rsidRDefault="00C949B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Сведения о заявителях по всем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различаются</w:t>
      </w:r>
    </w:p>
  </w:footnote>
  <w:footnote w:id="5">
    <w:p w:rsidR="00C949BA" w:rsidRPr="00094FA6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C949BA" w:rsidRPr="005257FF" w:rsidRDefault="00C949B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C949BA" w:rsidRDefault="00C949B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949BA" w:rsidRPr="00B0321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отличаются</w:t>
      </w:r>
    </w:p>
  </w:footnote>
  <w:footnote w:id="9">
    <w:p w:rsidR="00C949BA" w:rsidRDefault="00C949B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C949BA" w:rsidRPr="00802F8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Результат указан для всех </w:t>
      </w:r>
      <w:proofErr w:type="spellStart"/>
      <w:r w:rsidRPr="00731B15">
        <w:rPr>
          <w:rFonts w:ascii="Times New Roman" w:hAnsi="Times New Roman" w:cs="Times New Roman"/>
        </w:rPr>
        <w:t>подуслуг</w:t>
      </w:r>
      <w:proofErr w:type="spellEnd"/>
    </w:p>
  </w:footnote>
  <w:footnote w:id="11">
    <w:p w:rsidR="00C949BA" w:rsidRDefault="00C949BA">
      <w:pPr>
        <w:pStyle w:val="ad"/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C949BA" w:rsidRPr="00D04EE1" w:rsidRDefault="00C949BA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D04EE1">
        <w:rPr>
          <w:rFonts w:ascii="Times New Roman" w:hAnsi="Times New Roman" w:cs="Times New Roman"/>
        </w:rPr>
        <w:t>подуслуг</w:t>
      </w:r>
      <w:proofErr w:type="spellEnd"/>
      <w:r w:rsidRPr="00D04EE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F7E-A9A5-4D4B-B4D5-2A74C97B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38</Pages>
  <Words>6197</Words>
  <Characters>35326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67</cp:revision>
  <dcterms:created xsi:type="dcterms:W3CDTF">2015-09-01T14:06:00Z</dcterms:created>
  <dcterms:modified xsi:type="dcterms:W3CDTF">2016-11-25T12:26:00Z</dcterms:modified>
</cp:coreProperties>
</file>