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21F4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21F41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221F41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221F41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</w:t>
            </w:r>
            <w:r w:rsidRPr="00221F41">
              <w:t>у</w:t>
            </w:r>
            <w:r w:rsidRPr="00221F41">
              <w:t>ниципальной собственности, или государственная собственность на которые не разграничена, и з</w:t>
            </w:r>
            <w:r w:rsidRPr="00221F41">
              <w:t>е</w:t>
            </w:r>
            <w:r w:rsidRPr="00221F41">
              <w:t>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</w:t>
            </w:r>
            <w:r w:rsidRPr="00221F41">
              <w:t>у</w:t>
            </w:r>
            <w:r w:rsidRPr="00221F41">
              <w:t>ниципальной собственности, или государственная собственность на которые не разграничена, и з</w:t>
            </w:r>
            <w:r w:rsidRPr="00221F41">
              <w:t>е</w:t>
            </w:r>
            <w:r w:rsidRPr="00221F41">
              <w:t>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221F41" w:rsidRDefault="0069792A" w:rsidP="00BF63E3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21F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221F41" w:rsidRDefault="00F949DD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  <w:r w:rsidR="0069792A" w:rsidRPr="00221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21F41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83A57" w:rsidRPr="00221F41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221F41" w:rsidRPr="00221F41" w:rsidTr="00E728F6">
        <w:tc>
          <w:tcPr>
            <w:tcW w:w="2801" w:type="dxa"/>
            <w:gridSpan w:val="2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еме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каза в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остано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приост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новл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обр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щения за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E752C6">
        <w:tc>
          <w:tcPr>
            <w:tcW w:w="152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221F41">
              <w:rPr>
                <w:rFonts w:ascii="Times New Roman" w:hAnsi="Times New Roman" w:cs="Times New Roman"/>
                <w:b/>
              </w:rPr>
              <w:t>ь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221F41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221F41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221F41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221F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221F41">
              <w:rPr>
                <w:rFonts w:ascii="Times New Roman" w:hAnsi="Times New Roman" w:cs="Times New Roman"/>
                <w:b/>
              </w:rPr>
              <w:t>б</w:t>
            </w:r>
            <w:r w:rsidR="00E728F6" w:rsidRPr="00221F41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стве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ной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 п</w:t>
            </w:r>
            <w:r w:rsidR="00E728F6" w:rsidRPr="00221F41">
              <w:rPr>
                <w:rFonts w:ascii="Times New Roman" w:hAnsi="Times New Roman" w:cs="Times New Roman"/>
                <w:b/>
              </w:rPr>
              <w:t>о</w:t>
            </w:r>
            <w:r w:rsidR="00E728F6" w:rsidRPr="00221F41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7639AB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221F41">
              <w:rPr>
                <w:rFonts w:ascii="Times New Roman" w:hAnsi="Times New Roman" w:cs="Times New Roman"/>
                <w:b/>
              </w:rPr>
              <w:t>норм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тивного пр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вового акта</w:t>
            </w:r>
            <w:r w:rsidR="00E728F6" w:rsidRPr="00221F41">
              <w:rPr>
                <w:rFonts w:ascii="Times New Roman" w:hAnsi="Times New Roman" w:cs="Times New Roman"/>
                <w:b/>
              </w:rPr>
              <w:t>, я</w:t>
            </w:r>
            <w:r w:rsidR="00E728F6" w:rsidRPr="00221F41">
              <w:rPr>
                <w:rFonts w:ascii="Times New Roman" w:hAnsi="Times New Roman" w:cs="Times New Roman"/>
                <w:b/>
              </w:rPr>
              <w:t>в</w:t>
            </w:r>
            <w:r w:rsidR="00E728F6" w:rsidRPr="00221F41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</w:t>
            </w:r>
            <w:r w:rsidR="007639AB" w:rsidRPr="00221F41">
              <w:rPr>
                <w:rFonts w:ascii="Times New Roman" w:hAnsi="Times New Roman" w:cs="Times New Roman"/>
                <w:b/>
              </w:rPr>
              <w:t>р</w:t>
            </w:r>
            <w:r w:rsidR="007639AB" w:rsidRPr="00221F41">
              <w:rPr>
                <w:rFonts w:ascii="Times New Roman" w:hAnsi="Times New Roman" w:cs="Times New Roman"/>
                <w:b/>
              </w:rPr>
              <w:t>стве</w:t>
            </w:r>
            <w:r w:rsidR="007639AB" w:rsidRPr="00221F41">
              <w:rPr>
                <w:rFonts w:ascii="Times New Roman" w:hAnsi="Times New Roman" w:cs="Times New Roman"/>
                <w:b/>
              </w:rPr>
              <w:t>н</w:t>
            </w:r>
            <w:r w:rsidR="007639AB" w:rsidRPr="00221F41">
              <w:rPr>
                <w:rFonts w:ascii="Times New Roman" w:hAnsi="Times New Roman" w:cs="Times New Roman"/>
                <w:b/>
              </w:rPr>
              <w:t>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275" w:type="dxa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221F41">
              <w:rPr>
                <w:rFonts w:ascii="Times New Roman" w:hAnsi="Times New Roman" w:cs="Times New Roman"/>
                <w:b/>
              </w:rPr>
              <w:t>н</w:t>
            </w:r>
            <w:r w:rsidR="007639AB" w:rsidRPr="00221F41">
              <w:rPr>
                <w:rFonts w:ascii="Times New Roman" w:hAnsi="Times New Roman" w:cs="Times New Roman"/>
                <w:b/>
              </w:rPr>
              <w:t>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F41" w:rsidRPr="00221F41" w:rsidTr="00E752C6">
        <w:tc>
          <w:tcPr>
            <w:tcW w:w="152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21F41" w:rsidRPr="00221F41" w:rsidTr="00E728F6">
        <w:tc>
          <w:tcPr>
            <w:tcW w:w="14992" w:type="dxa"/>
            <w:gridSpan w:val="11"/>
          </w:tcPr>
          <w:p w:rsidR="00BD28FA" w:rsidRPr="00221F41" w:rsidRDefault="00BD28FA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221F41">
              <w:rPr>
                <w:rFonts w:ascii="Times New Roman" w:hAnsi="Times New Roman" w:cs="Times New Roman"/>
                <w:b/>
              </w:rPr>
              <w:t>»</w:t>
            </w:r>
            <w:r w:rsidR="00033240"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3933C3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E728F6">
        <w:tc>
          <w:tcPr>
            <w:tcW w:w="1525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поступления заявления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направляется  решение об утверждении схемы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либо  согласие на заключение соглашения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 xml:space="preserve">ных участков в </w:t>
            </w:r>
            <w:r w:rsidRPr="00221F41">
              <w:rPr>
                <w:rFonts w:ascii="Times New Roman" w:hAnsi="Times New Roman" w:cs="Times New Roman"/>
              </w:rPr>
              <w:lastRenderedPageBreak/>
              <w:t>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утвержденным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об отказе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представления кадастрового паспорта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зультате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распределения, готовится и направляется  проект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явителю для подп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276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30 дней со дня посту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ления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  решение об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либо  согласие на заключение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том межев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решение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ставления кадастров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порта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участков, образуемых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деления, готовится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  проект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глашения </w:t>
            </w:r>
            <w:r w:rsidRPr="00221F41">
              <w:rPr>
                <w:rFonts w:ascii="Times New Roman" w:hAnsi="Times New Roman" w:cs="Times New Roman"/>
              </w:rPr>
              <w:lastRenderedPageBreak/>
              <w:t>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 заявителю для подп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418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Основания для отказа в приеме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подача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лицом, не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вершать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рода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ствия.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Основания для возврата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заявление не соответствует </w:t>
            </w:r>
            <w:r w:rsidRPr="00221F41">
              <w:rPr>
                <w:rFonts w:ascii="Times New Roman" w:hAnsi="Times New Roman" w:cs="Times New Roman"/>
              </w:rPr>
              <w:lastRenderedPageBreak/>
              <w:t>требованиям;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заявление подано в иной орган;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к заявлению не приложены необходимые документы</w:t>
            </w:r>
          </w:p>
        </w:tc>
        <w:tc>
          <w:tcPr>
            <w:tcW w:w="1700" w:type="dxa"/>
          </w:tcPr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Наличие хотя бы одного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ний: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заявление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подано в случаях, не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ных </w:t>
            </w:r>
            <w:r w:rsidR="00F14531" w:rsidRPr="00221F41">
              <w:rPr>
                <w:rFonts w:ascii="Times New Roman" w:hAnsi="Times New Roman" w:cs="Times New Roman"/>
              </w:rPr>
              <w:t>ст. </w:t>
            </w:r>
            <w:r w:rsidRPr="00221F41">
              <w:rPr>
                <w:rFonts w:ascii="Times New Roman" w:hAnsi="Times New Roman" w:cs="Times New Roman"/>
              </w:rPr>
              <w:t>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F14531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лено в письме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ной форме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гласие </w:t>
            </w:r>
          </w:p>
          <w:p w:rsidR="0063284E" w:rsidRPr="00221F41" w:rsidRDefault="00F14531" w:rsidP="00F1453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землепользов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телей, землевл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дельцев, аренд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торов, залог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держателей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ходных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  <w:r w:rsidR="0063284E" w:rsidRPr="00221F41">
              <w:rPr>
                <w:rFonts w:ascii="Times New Roman" w:hAnsi="Times New Roman" w:cs="Times New Roman"/>
              </w:rPr>
              <w:t>, если земельные участ</w:t>
            </w:r>
            <w:r w:rsidRPr="00221F41">
              <w:rPr>
                <w:rFonts w:ascii="Times New Roman" w:hAnsi="Times New Roman" w:cs="Times New Roman"/>
              </w:rPr>
              <w:t>ки</w:t>
            </w:r>
            <w:r w:rsidR="0063284E" w:rsidRPr="00221F41">
              <w:rPr>
                <w:rFonts w:ascii="Times New Roman" w:hAnsi="Times New Roman" w:cs="Times New Roman"/>
              </w:rPr>
              <w:t xml:space="preserve"> обрем</w:t>
            </w:r>
            <w:r w:rsidR="0063284E" w:rsidRPr="00221F41">
              <w:rPr>
                <w:rFonts w:ascii="Times New Roman" w:hAnsi="Times New Roman" w:cs="Times New Roman"/>
              </w:rPr>
              <w:t>е</w:t>
            </w:r>
            <w:r w:rsidR="0063284E" w:rsidRPr="00221F41">
              <w:rPr>
                <w:rFonts w:ascii="Times New Roman" w:hAnsi="Times New Roman" w:cs="Times New Roman"/>
              </w:rPr>
              <w:t>нены пр</w:t>
            </w:r>
            <w:r w:rsidR="0063284E" w:rsidRPr="00221F41">
              <w:rPr>
                <w:rFonts w:ascii="Times New Roman" w:hAnsi="Times New Roman" w:cs="Times New Roman"/>
              </w:rPr>
              <w:t>а</w:t>
            </w:r>
            <w:r w:rsidR="0063284E" w:rsidRPr="00221F41">
              <w:rPr>
                <w:rFonts w:ascii="Times New Roman" w:hAnsi="Times New Roman" w:cs="Times New Roman"/>
              </w:rPr>
              <w:t>вами указанных лиц;</w:t>
            </w:r>
          </w:p>
          <w:p w:rsidR="00927ABF" w:rsidRPr="00221F41" w:rsidRDefault="0063284E" w:rsidP="00927ABF">
            <w:pPr>
              <w:spacing w:after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на земельном участке,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рый возникает право частной собственности, </w:t>
            </w:r>
          </w:p>
          <w:p w:rsidR="00927ABF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ности, и земель и (или) земельных участков,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дящихся в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ности, или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дарственная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 xml:space="preserve">граничена, </w:t>
            </w:r>
          </w:p>
          <w:p w:rsidR="00927ABF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будут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жены здание, соор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жение, объект незаве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шенного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тельства,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дящиеся в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дарственной или муниципал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ной собственн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сти, в собственн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 других гра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дан или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ских лиц, </w:t>
            </w:r>
          </w:p>
          <w:p w:rsidR="0063284E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за исключением сооружения (в том числе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оружения,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тельство котор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не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вершено), которое разм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щается на усл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виях сервит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та, или объекта, который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смотрен пунктом 3 статьи 39.36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 и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которого не 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пятствует испол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зованию земельного участка в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его разрешенным использованием;</w:t>
            </w:r>
            <w:proofErr w:type="gramEnd"/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ности, и земель и (или) земельных участков,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дящихся в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ности, или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дарственная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изъятых из об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рота или огран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ченных в обор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те;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образование земельного участка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предусма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ривается п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тем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 xml:space="preserve">щегося в частной собственности, и земель и (или) земельного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зарезервирова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для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или муниципальных нужд;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ности, и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государственная собственность на который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являющегося предметом ау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lastRenderedPageBreak/>
              <w:t xml:space="preserve">циона, </w:t>
            </w:r>
            <w:proofErr w:type="gramStart"/>
            <w:r w:rsidRPr="00221F41">
              <w:rPr>
                <w:rFonts w:ascii="Times New Roman" w:hAnsi="Times New Roman" w:cs="Times New Roman"/>
              </w:rPr>
              <w:t>извещ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о провед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которого размещено в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пунктом 19 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тьи 39.11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РФ, либо в отношении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земельного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 принято решение о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вар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тельном </w:t>
            </w:r>
            <w:proofErr w:type="gramStart"/>
            <w:r w:rsidRPr="00221F41">
              <w:rPr>
                <w:rFonts w:ascii="Times New Roman" w:hAnsi="Times New Roman" w:cs="Times New Roman"/>
              </w:rPr>
              <w:t>соглас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его пред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ставления, срок действия которого не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тек;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7) образование земельного участка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предусма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ривается п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тем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рые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дятся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ности,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ственная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в отношении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подано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ление о предв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рительном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гласовании предоставления земельного участка или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явление о пред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ставлении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 и не принято решение об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зе в этом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предв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 xml:space="preserve">рительном </w:t>
            </w:r>
            <w:proofErr w:type="gramStart"/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или этом предоста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8) 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земельных участков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кает право частной собственности, будет превышать установленные предельные ма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симальные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lastRenderedPageBreak/>
              <w:t>меры земельных участков;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9) образование земельного участка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предусма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ривается п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тем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земель, из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возможно образовать сам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тельный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без наруш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треб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ваний,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статьей 11.9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РФ, за исключением случаев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подпун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тами 1 и 4 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 1 статьи 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  <w:proofErr w:type="gramEnd"/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10) границы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ка, находящегося в частной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лежат уточнению в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ральным законом «О го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ном кадастре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жимости»;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11) имеются осн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вания для отказа в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мы расположения земельного участка,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смотренные пунктом 16 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тьи 11.10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12) приложенная к заявлению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схема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земельного участка разраб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тана с нарушен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ем требований к образуемым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мельным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кам или не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ветствует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жденным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ту 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нировки территории, зе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леустро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тельной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тации, положению об особо охраня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13) земельный участок,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 в 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ницах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в отнош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рой утвержден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территории;</w:t>
            </w:r>
          </w:p>
          <w:p w:rsidR="00F06095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14) площадь земельного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кает право частной собственности, превышает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такого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ка, указанную в схеме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 xml:space="preserve">ка или </w:t>
            </w:r>
            <w:r w:rsidRPr="00221F41">
              <w:rPr>
                <w:rFonts w:ascii="Times New Roman" w:hAnsi="Times New Roman" w:cs="Times New Roman"/>
              </w:rPr>
              <w:lastRenderedPageBreak/>
              <w:t>проекте межев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ван, более чем на десять проце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032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орган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МФЦ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через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услуг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тал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средственно при личном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</w:t>
            </w:r>
            <w:r w:rsidRPr="00221F41">
              <w:rPr>
                <w:rFonts w:ascii="Times New Roman" w:hAnsi="Times New Roman" w:cs="Times New Roman"/>
              </w:rPr>
              <w:t>ч</w:t>
            </w:r>
            <w:r w:rsidRPr="00221F41">
              <w:rPr>
                <w:rFonts w:ascii="Times New Roman" w:hAnsi="Times New Roman" w:cs="Times New Roman"/>
              </w:rPr>
              <w:t>тового отправл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 xml:space="preserve">мещенного на </w:t>
            </w:r>
            <w:r w:rsidRPr="00221F41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те администрации, ссылка на который направляется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221F41" w:rsidRDefault="00505D72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ждающий правом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ветствующей кат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ля с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ответствующей категории на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во</w:t>
            </w:r>
            <w:r w:rsidRPr="00221F41">
              <w:rPr>
                <w:rFonts w:ascii="Times New Roman" w:hAnsi="Times New Roman" w:cs="Times New Roman"/>
                <w:b/>
              </w:rPr>
              <w:t>з</w:t>
            </w:r>
            <w:r w:rsidRPr="00221F41">
              <w:rPr>
                <w:rFonts w:ascii="Times New Roman" w:hAnsi="Times New Roman" w:cs="Times New Roman"/>
                <w:b/>
              </w:rPr>
              <w:t>можности под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</w:t>
            </w:r>
            <w:r w:rsidRPr="00221F41">
              <w:rPr>
                <w:rFonts w:ascii="Times New Roman" w:hAnsi="Times New Roman" w:cs="Times New Roman"/>
                <w:b/>
              </w:rPr>
              <w:t>ю</w:t>
            </w:r>
            <w:r w:rsidRPr="00221F41">
              <w:rPr>
                <w:rFonts w:ascii="Times New Roman" w:hAnsi="Times New Roman" w:cs="Times New Roman"/>
                <w:b/>
              </w:rPr>
              <w:t>щему право подачи заявления от им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B47A97">
        <w:tc>
          <w:tcPr>
            <w:tcW w:w="14992" w:type="dxa"/>
            <w:gridSpan w:val="8"/>
          </w:tcPr>
          <w:p w:rsidR="00043FFA" w:rsidRPr="00221F41" w:rsidRDefault="003533BF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221F41">
              <w:rPr>
                <w:rFonts w:ascii="Times New Roman" w:hAnsi="Times New Roman" w:cs="Times New Roman"/>
                <w:b/>
              </w:rPr>
              <w:t>»</w:t>
            </w:r>
            <w:r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221F41">
              <w:rPr>
                <w:rFonts w:ascii="Times New Roman" w:hAnsi="Times New Roman" w:cs="Times New Roman"/>
                <w:b/>
              </w:rPr>
              <w:t>:</w:t>
            </w:r>
            <w:r w:rsidR="001710B7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B47A97">
        <w:trPr>
          <w:trHeight w:val="643"/>
        </w:trPr>
        <w:tc>
          <w:tcPr>
            <w:tcW w:w="657" w:type="dxa"/>
            <w:vMerge w:val="restart"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221F41" w:rsidRDefault="00373516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физические лица – собственники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ресованные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  <w:vMerge w:val="restart"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черкнутых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ждений,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от имени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на осн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 истолковать их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соде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жание</w:t>
            </w:r>
          </w:p>
        </w:tc>
      </w:tr>
      <w:tr w:rsidR="00221F41" w:rsidRPr="00221F41" w:rsidTr="005E25FA">
        <w:trPr>
          <w:trHeight w:val="643"/>
        </w:trPr>
        <w:tc>
          <w:tcPr>
            <w:tcW w:w="657" w:type="dxa"/>
            <w:vMerge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221F41">
              <w:rPr>
                <w:rFonts w:ascii="Times New Roman" w:hAnsi="Times New Roman" w:cs="Times New Roman"/>
              </w:rPr>
              <w:t>дов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если эти 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мочия предусмотрены 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новной</w:t>
            </w:r>
            <w:r w:rsidR="004F7F62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ностью.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ренность, в которой не </w:t>
            </w:r>
            <w:r w:rsidRPr="00221F41">
              <w:rPr>
                <w:rFonts w:ascii="Times New Roman" w:hAnsi="Times New Roman" w:cs="Times New Roman"/>
              </w:rPr>
              <w:lastRenderedPageBreak/>
              <w:t>указан срок ее действия,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тельна в течение одного</w:t>
            </w:r>
            <w:r w:rsidR="005E25FA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221F41" w:rsidRPr="00221F41" w:rsidTr="00B47A97">
        <w:tc>
          <w:tcPr>
            <w:tcW w:w="657" w:type="dxa"/>
            <w:vMerge w:val="restart"/>
          </w:tcPr>
          <w:p w:rsidR="00AD787E" w:rsidRPr="00221F41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221F41" w:rsidRDefault="0037351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юридические лица –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ванные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</w:tcPr>
          <w:p w:rsidR="00AD787E" w:rsidRPr="00221F41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ждающий право лица без доверенности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цию о праве физич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ского лица действовать от имени заявителя без 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01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 от имени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явителя на осн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вании 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 истолковать их соде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жание</w:t>
            </w:r>
          </w:p>
        </w:tc>
      </w:tr>
      <w:tr w:rsidR="00221F41" w:rsidRPr="00221F41" w:rsidTr="00B47A97">
        <w:tc>
          <w:tcPr>
            <w:tcW w:w="657" w:type="dxa"/>
            <w:vMerge/>
          </w:tcPr>
          <w:p w:rsidR="00911AE2" w:rsidRPr="00221F41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221F41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черкнутых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ждений,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или иного лица,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ченного на это. Довере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может быть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на также иным лицом,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ствующим по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сти.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доверенность, в которой не указан срок ее действия,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ствительна в течение одного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A60E5" w:rsidRPr="00221F41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43FFA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Категория 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221F41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Количество нео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ходимых экзе</w:t>
            </w:r>
            <w:r w:rsidRPr="00221F41">
              <w:rPr>
                <w:rFonts w:ascii="Times New Roman" w:hAnsi="Times New Roman" w:cs="Times New Roman"/>
                <w:b/>
              </w:rPr>
              <w:t>м</w:t>
            </w:r>
            <w:r w:rsidRPr="00221F41">
              <w:rPr>
                <w:rFonts w:ascii="Times New Roman" w:hAnsi="Times New Roman" w:cs="Times New Roman"/>
                <w:b/>
              </w:rPr>
              <w:t>пляров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221F41">
              <w:rPr>
                <w:rFonts w:ascii="Times New Roman" w:hAnsi="Times New Roman" w:cs="Times New Roman"/>
                <w:b/>
                <w:i/>
              </w:rPr>
              <w:t>по</w:t>
            </w:r>
            <w:r w:rsidRPr="00221F41">
              <w:rPr>
                <w:rFonts w:ascii="Times New Roman" w:hAnsi="Times New Roman" w:cs="Times New Roman"/>
                <w:b/>
                <w:i/>
              </w:rPr>
              <w:t>д</w:t>
            </w:r>
            <w:r w:rsidRPr="00221F41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221F41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к документу</w:t>
            </w:r>
            <w:proofErr w:type="gramStart"/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221F41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033240">
        <w:tc>
          <w:tcPr>
            <w:tcW w:w="15133" w:type="dxa"/>
            <w:gridSpan w:val="8"/>
          </w:tcPr>
          <w:p w:rsidR="00043FFA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221F41" w:rsidRDefault="00E728F6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</w:t>
            </w:r>
            <w:r w:rsidR="00B52E2A" w:rsidRPr="00221F41">
              <w:rPr>
                <w:rFonts w:ascii="Times New Roman" w:hAnsi="Times New Roman" w:cs="Times New Roman"/>
              </w:rPr>
              <w:t xml:space="preserve"> о перераспр</w:t>
            </w:r>
            <w:r w:rsidR="00B52E2A" w:rsidRPr="00221F41">
              <w:rPr>
                <w:rFonts w:ascii="Times New Roman" w:hAnsi="Times New Roman" w:cs="Times New Roman"/>
              </w:rPr>
              <w:t>е</w:t>
            </w:r>
            <w:r w:rsidR="00B52E2A" w:rsidRPr="00221F41">
              <w:rPr>
                <w:rFonts w:ascii="Times New Roman" w:hAnsi="Times New Roman" w:cs="Times New Roman"/>
              </w:rPr>
              <w:t>делении земель и (или) земельных участков, находящихся в муниц</w:t>
            </w:r>
            <w:r w:rsidR="00B52E2A" w:rsidRPr="00221F41">
              <w:rPr>
                <w:rFonts w:ascii="Times New Roman" w:hAnsi="Times New Roman" w:cs="Times New Roman"/>
              </w:rPr>
              <w:t>и</w:t>
            </w:r>
            <w:r w:rsidR="00B52E2A" w:rsidRPr="00221F41">
              <w:rPr>
                <w:rFonts w:ascii="Times New Roman" w:hAnsi="Times New Roman" w:cs="Times New Roman"/>
              </w:rPr>
              <w:t>пальной  собственности, или государственная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ственность на которые не разграничена, и земел</w:t>
            </w:r>
            <w:r w:rsidR="00B52E2A" w:rsidRPr="00221F41">
              <w:rPr>
                <w:rFonts w:ascii="Times New Roman" w:hAnsi="Times New Roman" w:cs="Times New Roman"/>
              </w:rPr>
              <w:t>ь</w:t>
            </w:r>
            <w:r w:rsidR="00B52E2A" w:rsidRPr="00221F41">
              <w:rPr>
                <w:rFonts w:ascii="Times New Roman" w:hAnsi="Times New Roman" w:cs="Times New Roman"/>
              </w:rPr>
              <w:t>ных участков, наход</w:t>
            </w:r>
            <w:r w:rsidR="00B52E2A" w:rsidRPr="00221F41">
              <w:rPr>
                <w:rFonts w:ascii="Times New Roman" w:hAnsi="Times New Roman" w:cs="Times New Roman"/>
              </w:rPr>
              <w:t>я</w:t>
            </w:r>
            <w:r w:rsidR="00B52E2A" w:rsidRPr="00221F41">
              <w:rPr>
                <w:rFonts w:ascii="Times New Roman" w:hAnsi="Times New Roman" w:cs="Times New Roman"/>
              </w:rPr>
              <w:t>щихся в частной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ственности, и земельных участков, находящихся в частной собственности</w:t>
            </w:r>
          </w:p>
        </w:tc>
        <w:tc>
          <w:tcPr>
            <w:tcW w:w="1842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подлинник</w:t>
            </w:r>
            <w:r w:rsidR="00221F41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заявлении указываются: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фамилия, имя и (при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чии) отчество, место жительства заявителя, ре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визиты документа,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веряющего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 (для гра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данина);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наименование и место нахождения заявителя (для юридического лица), а та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же государственный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онный номер записи о государственной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юридического лица в едином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ственном реестре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ских лиц, идентификац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онный номер налогопл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тельщика, за исключением случаев, если заявителем является иностранное юр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ское лицо;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кадастровый номер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или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дастровые номера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lastRenderedPageBreak/>
              <w:t>ных участков,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которых планир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ется осуществить;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реквизиты утвержденн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проекта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если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планируется осущ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ствить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данным проектом;</w:t>
            </w:r>
          </w:p>
          <w:p w:rsidR="00043FF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почтовый адрес и (или) адрес электронной почты для связи с заявителем.</w:t>
            </w:r>
          </w:p>
        </w:tc>
        <w:tc>
          <w:tcPr>
            <w:tcW w:w="1843" w:type="dxa"/>
          </w:tcPr>
          <w:p w:rsidR="00043FFA" w:rsidRPr="00221F41" w:rsidRDefault="00E728F6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221F41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1701" w:type="dxa"/>
          </w:tcPr>
          <w:p w:rsidR="00043FFA" w:rsidRPr="00221F41" w:rsidRDefault="00221F4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ливающие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менты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правоустанавливающие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правоудостоверя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документов на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участок,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надлежащий заявителю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право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не зарегистрир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вано в Едином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дарственном реестре прав на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жимое имущество и сд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воляет однозначно истолк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отсутствует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в границах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торой 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ществляется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земельных участков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воляет однозначно истолк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документы о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ственной регистрации юридического лица в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ответствии с законод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тельством ин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странного государства в случае</w:t>
            </w:r>
          </w:p>
        </w:tc>
        <w:tc>
          <w:tcPr>
            <w:tcW w:w="1842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правлений. Не должен </w:t>
            </w:r>
            <w:r w:rsidRPr="00221F41">
              <w:rPr>
                <w:rFonts w:ascii="Times New Roman" w:hAnsi="Times New Roman" w:cs="Times New Roman"/>
              </w:rPr>
              <w:lastRenderedPageBreak/>
              <w:t>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 истолковать их соде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221F41" w:rsidRDefault="00A87EF7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21F41" w:rsidRPr="00221F41" w:rsidTr="00033240">
        <w:tc>
          <w:tcPr>
            <w:tcW w:w="1242" w:type="dxa"/>
          </w:tcPr>
          <w:p w:rsidR="00221F41" w:rsidRPr="00BD0FB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221F41" w:rsidRPr="00221F41" w:rsidRDefault="00221F41" w:rsidP="00221F4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221F41" w:rsidRPr="00221F41" w:rsidTr="00033240">
        <w:tc>
          <w:tcPr>
            <w:tcW w:w="1242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2" w:type="dxa"/>
            <w:gridSpan w:val="9"/>
          </w:tcPr>
          <w:p w:rsidR="00D31907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D81A79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естра прав на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зарег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стрированных правах на указанный в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земельный участок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естра прав на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правах на здания, сооружения, находящиеся на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занном в заявлении земельном участке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кадастровый паспорт земельного участка либо кадастровая в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lastRenderedPageBreak/>
              <w:t>писка о земельном участке (з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участках)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Сведения о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ном участке (земел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участках),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распределение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рого (которых) 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нируется осущ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ствить: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- кадастровый номер;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адрес;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площадь;</w:t>
            </w:r>
          </w:p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наименование об</w:t>
            </w:r>
            <w:r w:rsidRPr="00221F41">
              <w:rPr>
                <w:rFonts w:ascii="Times New Roman" w:hAnsi="Times New Roman" w:cs="Times New Roman"/>
              </w:rPr>
              <w:t>ъ</w:t>
            </w:r>
            <w:r w:rsidRPr="00221F41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Филиал  федерал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бюджетного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учреждения «Ф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деральная кадас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ровая палата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ственной регистрации,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фии»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естра юридических лиц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сения сведений о заявителе в единый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реестр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ских лиц 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естра индивидуальных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 xml:space="preserve">принимателей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сения сведений о заявителе в единый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реестр индивидуал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предпринимат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территории</w:t>
            </w:r>
          </w:p>
        </w:tc>
        <w:tc>
          <w:tcPr>
            <w:tcW w:w="2126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если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план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руется осущ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ниципального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221F41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4F2A4B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221F41" w:rsidRPr="00221F41" w:rsidTr="00033240">
        <w:tc>
          <w:tcPr>
            <w:tcW w:w="534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221F41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Требования к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менту/документам, явля</w:t>
            </w:r>
            <w:r w:rsidRPr="00221F41">
              <w:rPr>
                <w:rFonts w:ascii="Times New Roman" w:hAnsi="Times New Roman" w:cs="Times New Roman"/>
                <w:b/>
              </w:rPr>
              <w:t>ю</w:t>
            </w:r>
            <w:r w:rsidRPr="00221F41">
              <w:rPr>
                <w:rFonts w:ascii="Times New Roman" w:hAnsi="Times New Roman" w:cs="Times New Roman"/>
                <w:b/>
              </w:rPr>
              <w:t>щ</w:t>
            </w:r>
            <w:r w:rsidR="00F62AA8" w:rsidRPr="00221F41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  <w:r w:rsidR="00221F4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1F41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</w:t>
            </w:r>
            <w:r w:rsidR="00F62AA8" w:rsidRPr="00221F41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="00F62AA8"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ментов, явл</w:t>
            </w:r>
            <w:r w:rsidRPr="00221F41">
              <w:rPr>
                <w:rFonts w:ascii="Times New Roman" w:hAnsi="Times New Roman" w:cs="Times New Roman"/>
                <w:b/>
              </w:rPr>
              <w:t>я</w:t>
            </w:r>
            <w:r w:rsidRPr="00221F41">
              <w:rPr>
                <w:rFonts w:ascii="Times New Roman" w:hAnsi="Times New Roman" w:cs="Times New Roman"/>
                <w:b/>
              </w:rPr>
              <w:t>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том «подусл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221F41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бованных заявителем резул</w:t>
            </w:r>
            <w:r w:rsidRPr="00221F41">
              <w:rPr>
                <w:rFonts w:ascii="Times New Roman" w:hAnsi="Times New Roman" w:cs="Times New Roman"/>
                <w:b/>
              </w:rPr>
              <w:t>ь</w:t>
            </w:r>
            <w:r w:rsidRPr="00221F41">
              <w:rPr>
                <w:rFonts w:ascii="Times New Roman" w:hAnsi="Times New Roman" w:cs="Times New Roman"/>
                <w:b/>
              </w:rPr>
              <w:t>татов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21F41" w:rsidRPr="00221F41" w:rsidTr="00033240">
        <w:tc>
          <w:tcPr>
            <w:tcW w:w="534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21F41" w:rsidRPr="00221F41" w:rsidTr="00033240">
        <w:tc>
          <w:tcPr>
            <w:tcW w:w="534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3" w:type="dxa"/>
            <w:gridSpan w:val="9"/>
          </w:tcPr>
          <w:p w:rsidR="004F2A4B" w:rsidRPr="00221F41" w:rsidRDefault="005B5DC1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7A6D2F" w:rsidRPr="00221F41">
              <w:rPr>
                <w:rFonts w:ascii="Times New Roman" w:hAnsi="Times New Roman" w:cs="Times New Roman"/>
                <w:b/>
              </w:rPr>
              <w:t xml:space="preserve">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373516">
            <w:pPr>
              <w:pStyle w:val="ConsPlusNormal"/>
              <w:ind w:left="-85" w:right="-85"/>
              <w:jc w:val="both"/>
            </w:pPr>
            <w:r w:rsidRPr="00221F41">
              <w:t>проект соглашения о п</w:t>
            </w:r>
            <w:r w:rsidRPr="00221F41">
              <w:t>е</w:t>
            </w:r>
            <w:r w:rsidRPr="00221F41">
              <w:t>рераспределении земел</w:t>
            </w:r>
            <w:r w:rsidRPr="00221F41">
              <w:t>ь</w:t>
            </w:r>
            <w:r w:rsidRPr="00221F41">
              <w:t>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F62AA8">
            <w:pPr>
              <w:pStyle w:val="ConsPlusNormal"/>
              <w:ind w:left="-85" w:right="-85"/>
              <w:jc w:val="both"/>
            </w:pPr>
            <w:r w:rsidRPr="00221F41">
              <w:t>постановление админ</w:t>
            </w:r>
            <w:r w:rsidRPr="00221F41">
              <w:t>и</w:t>
            </w:r>
            <w:r w:rsidRPr="00221F41">
              <w:t>страции об отказе в з</w:t>
            </w:r>
            <w:r w:rsidRPr="00221F41">
              <w:t>а</w:t>
            </w:r>
            <w:r w:rsidRPr="00221F41">
              <w:t>ключени</w:t>
            </w:r>
            <w:proofErr w:type="gramStart"/>
            <w:r w:rsidRPr="00221F41">
              <w:t>и</w:t>
            </w:r>
            <w:proofErr w:type="gramEnd"/>
            <w:r w:rsidRPr="00221F41">
              <w:t xml:space="preserve"> соглашения о перераспределении з</w:t>
            </w:r>
            <w:r w:rsidRPr="00221F41">
              <w:t>е</w:t>
            </w:r>
            <w:r w:rsidRPr="00221F41">
              <w:t>мельных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A83585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221F41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A83585" w:rsidRPr="00221F41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221F41">
              <w:rPr>
                <w:rFonts w:ascii="Times New Roman" w:hAnsi="Times New Roman" w:cs="Times New Roman"/>
                <w:b/>
              </w:rPr>
              <w:t>1</w:t>
            </w:r>
            <w:r w:rsidR="000E5FA8"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760A78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E3767E" w:rsidRPr="00221F41" w:rsidRDefault="003954C0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</w:t>
            </w:r>
            <w:r w:rsidR="003533B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221F41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221F41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221F41">
              <w:rPr>
                <w:rFonts w:ascii="Times New Roman" w:hAnsi="Times New Roman" w:cs="Times New Roman"/>
                <w:b/>
              </w:rPr>
              <w:t xml:space="preserve"> 1:</w:t>
            </w:r>
            <w:r w:rsidR="00E0630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Pr="00221F41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Прием заявления и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лагаемых к нему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ля, полномочия представителя заявителя действовать от его имени;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соответствие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 следу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ством случаях нотариально уд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стоверены, скрепл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ны печатями, имеют надлежащие подписи определенных законод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тельством должностных лиц; в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кументах нет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иных неоговоре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держание;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сличает копии представленных документов, не заверенных в установленном порядке, с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линными экземплярами и завер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ет своей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писью с указанием должности, фамилии и иници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лов;</w:t>
            </w:r>
          </w:p>
          <w:p w:rsidR="00221F41" w:rsidRPr="00221F41" w:rsidRDefault="00221F41" w:rsidP="00B7570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тов, объясняет заявителю содержание выявленных нед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статков в представленных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ментах и предлагает принять меры по их устранению.</w:t>
            </w:r>
          </w:p>
        </w:tc>
        <w:tc>
          <w:tcPr>
            <w:tcW w:w="1985" w:type="dxa"/>
            <w:vMerge w:val="restart"/>
          </w:tcPr>
          <w:p w:rsidR="00221F41" w:rsidRPr="00221F41" w:rsidRDefault="00221F41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126" w:type="dxa"/>
            <w:vMerge w:val="restart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страции или </w:t>
            </w: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221F41">
              <w:rPr>
                <w:rFonts w:ascii="Times New Roman" w:hAnsi="Times New Roman" w:cs="Times New Roman"/>
              </w:rPr>
              <w:t>МФЦ, 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ственный за прием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заявления;</w:t>
            </w:r>
          </w:p>
          <w:p w:rsidR="00221F41" w:rsidRPr="00ED1AE5" w:rsidRDefault="00221F41" w:rsidP="0000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Регистрация заявления и прилагаемых к нему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3260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регистрирует заявление с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лагаемым комплектом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тов;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выдает расписку в получении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 с указанием перечня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и даты их получения, а также с указанием перечня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кументов, которые будут получ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ны по межведомственным запр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сам.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 обращения заявителя в МФЦ зарегистрированное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ление передается с сопровод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письмом в адрес адм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нистрации в течение одного 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бочего дня с момента регистр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 расписки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2. Наименование административной процедуры 2:  Проверка соответствия заявления и прилагаемых к нему документов установленным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lastRenderedPageBreak/>
              <w:t xml:space="preserve">ниям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Проверка соответствия заявления и прилагаемых к нему документов уст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но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ленным требованиям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проводит проверку заявления и прилагаемых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соответствие устано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ленным треб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ваниям 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во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врата документов специалист готовит уведомление о возврате заявления с указанием причин возврата.</w:t>
            </w:r>
          </w:p>
          <w:p w:rsidR="00221F41" w:rsidRPr="00221F41" w:rsidRDefault="00221F41" w:rsidP="008D2CC8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Уведомление о возврате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подписывается главой пос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 дней со дня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заявления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</w:t>
            </w:r>
            <w:r w:rsidRPr="00221F41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3. Наименование административной процедуры 3:  Рассмотрение представленных документов, истребование необходимых документов (сведений) в рамках межв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 xml:space="preserve">домственного взаимодействия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: 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документов, истребование необход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мых документов (свед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ний) в рамках межв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домственного взаим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а) устанавливает принадлежность земельного участка, в отношении которого поступило заявление о перераспределении, к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поселения 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б) в случае необходимости в ра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ках межведомственного инфо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мационного взаимодействия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прашивает необходимые 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ния.</w:t>
            </w:r>
          </w:p>
          <w:p w:rsidR="00221F41" w:rsidRPr="00221F41" w:rsidRDefault="00221F41" w:rsidP="0075309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в) устанавливает отсутствие или наличие оснований для 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4. Наименование административной процедуры 4:  Подготовка решения об утверждении схемы расположения земельного участка, о согласии на заключение с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глашения о перераспределении земельных участков в соответствии с утвержденным проектом межевания территории либо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 xml:space="preserve"> соглашения о перераспределении земельных участков 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Подготовка решения об </w:t>
            </w:r>
            <w:r w:rsidRPr="00221F41">
              <w:rPr>
                <w:rFonts w:ascii="Times New Roman" w:hAnsi="Times New Roman" w:cs="Times New Roman"/>
              </w:rPr>
              <w:lastRenderedPageBreak/>
              <w:t>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ка, о согласии на заключ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мельных участков  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 отсутствии оснований для </w:t>
            </w:r>
            <w:r w:rsidRPr="00221F41">
              <w:rPr>
                <w:rFonts w:ascii="Times New Roman" w:hAnsi="Times New Roman" w:cs="Times New Roman"/>
              </w:rPr>
              <w:lastRenderedPageBreak/>
              <w:t>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участков, в случае если отсу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ствует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жденный проект межевания территории, в 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цах которой осуществляется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рераспределение земельных участков, специалист, подгота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ливает проект постановл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администрации об утверждении схемы расположения земельного участка, предоставленной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телем.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подписывается главой посел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ния.</w:t>
            </w:r>
          </w:p>
          <w:p w:rsidR="00221F41" w:rsidRPr="00221F41" w:rsidRDefault="00221F41" w:rsidP="00221F41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отсутствии оснований для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 при наличии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жденного проекта межевания территории, в границах которой осуществляется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земельных участков, специ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лист готовит проект согласия на заключение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если перераспределение земельных участков планируется осуществить в соответствии с данным проектом.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согласия на заключение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глашения о перераспределении </w:t>
            </w:r>
            <w:r w:rsidRPr="00221F41">
              <w:rPr>
                <w:rFonts w:ascii="Times New Roman" w:hAnsi="Times New Roman" w:cs="Times New Roman"/>
              </w:rPr>
              <w:lastRenderedPageBreak/>
              <w:t>земельных участков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утвержденным проектом межевания территории подпис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t>вается главой поселения.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специалист готовит проект постановления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об отказе в заключении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с указанием всех оснований отказа.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подписывается главой посел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10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моченный 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lastRenderedPageBreak/>
              <w:t>онное и технологическое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5. Наименование административной процедуры 5: 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ритории либо об отказе в з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ключени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 xml:space="preserve"> соглашения о перераспределении земельных участков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решения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ка, о согласии на заключ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Постановление администрации об утверждении схемы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земельного участка,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сие на заключение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ектом межевания территории, постановление а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министрации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 могут быть направлены (выданы) заявителю по его желанию одним из следующих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ственно по месту подачи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Заявитель, которому направлено постановление администрации об утверждении схемы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или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заключение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ектом межевания территории, обеспечивает выпо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нение кадастровых работ в целях государственного кадастрового учета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рые образуются в результате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рераспределения, и обращается с заявлением о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ственном кадастровом учете таких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участков.</w:t>
            </w:r>
            <w:proofErr w:type="gramEnd"/>
          </w:p>
        </w:tc>
        <w:tc>
          <w:tcPr>
            <w:tcW w:w="1985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  <w:r w:rsidRPr="00221F41">
              <w:rPr>
                <w:rFonts w:ascii="Times New Roman" w:hAnsi="Times New Roman" w:cs="Times New Roman"/>
              </w:rPr>
              <w:t>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 на рассмо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рение представле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постановления администрации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6. Наименование административной процедуры 6:  Подготовка  и подписание экземпляров проекта соглашения о перераспределении земельных участков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Подготовка  и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ние экземпляров проекта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После предоставления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лем в администрацию кадастр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вого па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порта земельного участка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земельных участков, образ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емых в результате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ления, специалист, уполномоче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на рассмотрение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готовит проект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участков. Проект соглашения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земельных участков подпис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t>вается главой поселения  муниципального ра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 xml:space="preserve">она; 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случае, если площадь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участка, на который возн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кает право частной собственн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сти, превышает площадь такого земельного участка, указанную в схеме расположения земельного участка или проекте межевания территории,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образован, более чем на десять процентов, готовит проект постановления администрации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участков.  Проект постановления администрации подписывается главой поселения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она.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28 дней со дня представления в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страцию </w:t>
            </w:r>
            <w:r w:rsidRPr="00221F41">
              <w:rPr>
                <w:rFonts w:ascii="Times New Roman" w:hAnsi="Times New Roman" w:cs="Times New Roman"/>
              </w:rPr>
              <w:lastRenderedPageBreak/>
              <w:t>кадастрового па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порта земельного участка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перераспределения</w:t>
            </w:r>
          </w:p>
        </w:tc>
        <w:tc>
          <w:tcPr>
            <w:tcW w:w="2126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Должностное лицо</w:t>
            </w:r>
            <w:r>
              <w:rPr>
                <w:rFonts w:ascii="Times New Roman" w:hAnsi="Times New Roman" w:cs="Times New Roman"/>
              </w:rPr>
              <w:t xml:space="preserve"> администра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57FA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форма соглашения о перераспределении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7. Наименование административной процедуры 7:  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мельных участков для подписания.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7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для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Проект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земельных участков либо постановление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глашения о перераспределении земельных участков могут быть направлены (выданы) заявителю по его желанию одним из след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ственно по месту подачи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 обязан подписать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глашение о перераспределении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не позднее чем в теч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тридцати дней со дня его пол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чения.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221F41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4E7B41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записи на прием в орган, МФЦ для под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чи запроса о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фо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ганом,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</w:t>
            </w:r>
            <w:r w:rsidRPr="00221F41">
              <w:rPr>
                <w:rFonts w:ascii="Times New Roman" w:hAnsi="Times New Roman" w:cs="Times New Roman"/>
                <w:b/>
              </w:rPr>
              <w:t>я</w:t>
            </w:r>
            <w:r w:rsidRPr="00221F41">
              <w:rPr>
                <w:rFonts w:ascii="Times New Roman" w:hAnsi="Times New Roman" w:cs="Times New Roman"/>
                <w:b/>
              </w:rPr>
              <w:t>ющим услугу, з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проса о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иных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емых в соотве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ствии с законод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тельством Ро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сийской Федер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8E5BC8">
        <w:tc>
          <w:tcPr>
            <w:tcW w:w="14993" w:type="dxa"/>
            <w:gridSpan w:val="7"/>
          </w:tcPr>
          <w:p w:rsidR="009A473A" w:rsidRPr="00221F41" w:rsidRDefault="009A473A" w:rsidP="00854C4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1:</w:t>
            </w:r>
            <w:r w:rsidR="00A45256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854C45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A473A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бума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221F41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(функций)</w:t>
            </w:r>
          </w:p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221F41">
              <w:rPr>
                <w:rFonts w:ascii="Times New Roman" w:hAnsi="Times New Roman" w:cs="Times New Roman"/>
              </w:rPr>
              <w:t>на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1F41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ципальных услуг Воронежской области</w:t>
            </w: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221F41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Перечень приложений:</w:t>
      </w:r>
    </w:p>
    <w:p w:rsidR="00883DB0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1 (</w:t>
      </w:r>
      <w:r w:rsidR="00C06034" w:rsidRPr="00221F41">
        <w:rPr>
          <w:rFonts w:ascii="Times New Roman" w:hAnsi="Times New Roman" w:cs="Times New Roman"/>
        </w:rPr>
        <w:t>форма заявления</w:t>
      </w:r>
      <w:r w:rsidRPr="00221F41">
        <w:rPr>
          <w:rFonts w:ascii="Times New Roman" w:hAnsi="Times New Roman" w:cs="Times New Roman"/>
        </w:rPr>
        <w:t>)</w:t>
      </w:r>
    </w:p>
    <w:p w:rsidR="007775FB" w:rsidRPr="00221F41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2 (</w:t>
      </w:r>
      <w:r w:rsidR="00077C12" w:rsidRPr="00221F41">
        <w:rPr>
          <w:rFonts w:ascii="Times New Roman" w:hAnsi="Times New Roman" w:cs="Times New Roman"/>
        </w:rPr>
        <w:t>форма расписка</w:t>
      </w:r>
      <w:r w:rsidR="00F17035" w:rsidRPr="00221F41">
        <w:rPr>
          <w:rFonts w:ascii="Times New Roman" w:hAnsi="Times New Roman" w:cs="Times New Roman"/>
        </w:rPr>
        <w:t>)</w:t>
      </w: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21F41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21F41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221F41" w:rsidRDefault="00EF7145" w:rsidP="00E728F6">
      <w:pPr>
        <w:pStyle w:val="ConsPlusNormal"/>
        <w:jc w:val="right"/>
      </w:pPr>
      <w:r w:rsidRPr="00221F41">
        <w:t xml:space="preserve"> </w:t>
      </w:r>
      <w:r w:rsidR="00E728F6" w:rsidRPr="00221F41">
        <w:t>Форма заявления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Главе ________ сельского поселения __________муниципального района </w:t>
      </w:r>
    </w:p>
    <w:p w:rsidR="00B52E2A" w:rsidRPr="00221F41" w:rsidRDefault="00B52E2A" w:rsidP="00B52E2A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(наименование заявителя - юридич</w:t>
      </w:r>
      <w:r w:rsidRPr="00221F41">
        <w:rPr>
          <w:rFonts w:ascii="Times New Roman" w:hAnsi="Times New Roman" w:cs="Times New Roman"/>
          <w:sz w:val="22"/>
          <w:szCs w:val="22"/>
        </w:rPr>
        <w:t>е</w:t>
      </w:r>
      <w:r w:rsidRPr="00221F41">
        <w:rPr>
          <w:rFonts w:ascii="Times New Roman" w:hAnsi="Times New Roman" w:cs="Times New Roman"/>
          <w:sz w:val="22"/>
          <w:szCs w:val="22"/>
        </w:rPr>
        <w:t>ского лица,</w:t>
      </w:r>
      <w:proofErr w:type="gramEnd"/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  <w:hyperlink w:anchor="P614" w:history="1">
        <w:r w:rsidRPr="00221F41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221F41">
        <w:rPr>
          <w:rFonts w:ascii="Times New Roman" w:hAnsi="Times New Roman" w:cs="Times New Roman"/>
          <w:sz w:val="22"/>
          <w:szCs w:val="22"/>
        </w:rPr>
        <w:t>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  <w:proofErr w:type="gramEnd"/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  <w:proofErr w:type="gramEnd"/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570"/>
      <w:bookmarkEnd w:id="2"/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в муниципальной  собственности, или государственная собственность на к</w:t>
      </w:r>
      <w:r w:rsidRPr="00221F41">
        <w:rPr>
          <w:rFonts w:ascii="Times New Roman" w:hAnsi="Times New Roman" w:cs="Times New Roman"/>
          <w:sz w:val="22"/>
          <w:szCs w:val="22"/>
        </w:rPr>
        <w:t>о</w:t>
      </w:r>
      <w:r w:rsidRPr="00221F41">
        <w:rPr>
          <w:rFonts w:ascii="Times New Roman" w:hAnsi="Times New Roman" w:cs="Times New Roman"/>
          <w:sz w:val="22"/>
          <w:szCs w:val="22"/>
        </w:rPr>
        <w:t>торые не разграничена, и земельных участков, находящихся в частной со</w:t>
      </w:r>
      <w:r w:rsidRPr="00221F41">
        <w:rPr>
          <w:rFonts w:ascii="Times New Roman" w:hAnsi="Times New Roman" w:cs="Times New Roman"/>
          <w:sz w:val="22"/>
          <w:szCs w:val="22"/>
        </w:rPr>
        <w:t>б</w:t>
      </w:r>
      <w:r w:rsidRPr="00221F41">
        <w:rPr>
          <w:rFonts w:ascii="Times New Roman" w:hAnsi="Times New Roman" w:cs="Times New Roman"/>
          <w:sz w:val="22"/>
          <w:szCs w:val="22"/>
        </w:rPr>
        <w:t>ственности, и земельных участков, находящихся в частной собственности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(указываются  случаи  перераспределения  земельных  участков  из  числа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9" w:history="1">
        <w:r w:rsidRPr="00221F41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>ется осуществить: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номер_______________________;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осуществить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    с     проектом    межевания    территории,    утвержденным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 от "___"________ ____ г. № ___                   (при наличии такого проекта).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Результат   рассмотрения   заявления   прошу   выдать  мне  лично  (или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уполномоченному   представителю)   /   выслать  по  почте  /  направить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10" w:history="1">
        <w:r w:rsidRPr="00221F41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№  152-ФЗ  «О  персональных  данных»  даю согласие на сбор, систематизацию, накопление,  хр</w:t>
      </w:r>
      <w:r w:rsidRPr="00221F41">
        <w:rPr>
          <w:rFonts w:ascii="Times New Roman" w:hAnsi="Times New Roman" w:cs="Times New Roman"/>
          <w:sz w:val="22"/>
          <w:szCs w:val="22"/>
        </w:rPr>
        <w:t>а</w:t>
      </w:r>
      <w:r w:rsidRPr="00221F41">
        <w:rPr>
          <w:rFonts w:ascii="Times New Roman" w:hAnsi="Times New Roman" w:cs="Times New Roman"/>
          <w:sz w:val="22"/>
          <w:szCs w:val="22"/>
        </w:rPr>
        <w:t>нение,  уточнение  (обновление,  изменение), использование, распространение  (в  случаях, пред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>смотренных действующим зак</w:t>
      </w:r>
      <w:r w:rsidRPr="00221F41">
        <w:rPr>
          <w:rFonts w:ascii="Times New Roman" w:hAnsi="Times New Roman" w:cs="Times New Roman"/>
          <w:sz w:val="22"/>
          <w:szCs w:val="22"/>
        </w:rPr>
        <w:t>о</w:t>
      </w:r>
      <w:r w:rsidRPr="00221F41">
        <w:rPr>
          <w:rFonts w:ascii="Times New Roman" w:hAnsi="Times New Roman" w:cs="Times New Roman"/>
          <w:sz w:val="22"/>
          <w:szCs w:val="22"/>
        </w:rPr>
        <w:t xml:space="preserve">нодательством Российской  Федерации)  предоставленных выше </w:t>
      </w:r>
      <w:r w:rsidRPr="00221F41">
        <w:rPr>
          <w:rFonts w:ascii="Times New Roman" w:hAnsi="Times New Roman" w:cs="Times New Roman"/>
          <w:sz w:val="22"/>
          <w:szCs w:val="22"/>
        </w:rPr>
        <w:lastRenderedPageBreak/>
        <w:t>персонал</w:t>
      </w:r>
      <w:r w:rsidRPr="00221F41">
        <w:rPr>
          <w:rFonts w:ascii="Times New Roman" w:hAnsi="Times New Roman" w:cs="Times New Roman"/>
          <w:sz w:val="22"/>
          <w:szCs w:val="22"/>
        </w:rPr>
        <w:t>ь</w:t>
      </w:r>
      <w:r w:rsidRPr="00221F41">
        <w:rPr>
          <w:rFonts w:ascii="Times New Roman" w:hAnsi="Times New Roman" w:cs="Times New Roman"/>
          <w:sz w:val="22"/>
          <w:szCs w:val="22"/>
        </w:rPr>
        <w:t>ных данных.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Настоящее согласие дано мною бессрочно (для физических лиц).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D4464" w:rsidRPr="00221F41" w:rsidRDefault="00B52E2A" w:rsidP="00B5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14"/>
      <w:bookmarkEnd w:id="3"/>
      <w:r w:rsidRPr="00221F41">
        <w:rPr>
          <w:rFonts w:ascii="Times New Roman" w:hAnsi="Times New Roman" w:cs="Times New Roman"/>
        </w:rPr>
        <w:t>&lt;1</w:t>
      </w:r>
      <w:proofErr w:type="gramStart"/>
      <w:r w:rsidRPr="00221F41">
        <w:rPr>
          <w:rFonts w:ascii="Times New Roman" w:hAnsi="Times New Roman" w:cs="Times New Roman"/>
        </w:rPr>
        <w:t>&gt; З</w:t>
      </w:r>
      <w:proofErr w:type="gramEnd"/>
      <w:r w:rsidRPr="00221F41">
        <w:rPr>
          <w:rFonts w:ascii="Times New Roman" w:hAnsi="Times New Roman" w:cs="Times New Roman"/>
        </w:rPr>
        <w:t>а исключением случаев, если заявитель - иностранное юридическое лицо</w:t>
      </w:r>
    </w:p>
    <w:p w:rsidR="00F17035" w:rsidRPr="00221F41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A87EF7" w:rsidRPr="00221F41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РАСПИСКА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в получении документов, представленных для принятия решения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о заключении соглашения о перераспределении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земельных участков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Настоящим удостоверяется, что заявитель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представил,  а сотрудник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получил   "_____"   __________________   __________    документы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(число)    (месяц прописью)                 (год)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в количестве  _______________________________  экземпляров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(прописью)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по   прилагаемому   к   заявлению  перечню   документов,   необходимых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принятия  решения  о предварительном согласовании предоставления земельного участка   (с</w:t>
      </w:r>
      <w:r w:rsidRPr="00221F41">
        <w:rPr>
          <w:rFonts w:ascii="Times New Roman" w:eastAsia="Times New Roman" w:hAnsi="Times New Roman" w:cs="Times New Roman"/>
          <w:lang w:eastAsia="ru-RU"/>
        </w:rPr>
        <w:t>о</w:t>
      </w:r>
      <w:r w:rsidRPr="00221F41">
        <w:rPr>
          <w:rFonts w:ascii="Times New Roman" w:eastAsia="Times New Roman" w:hAnsi="Times New Roman" w:cs="Times New Roman"/>
          <w:lang w:eastAsia="ru-RU"/>
        </w:rPr>
        <w:t xml:space="preserve">гласно  </w:t>
      </w:r>
      <w:hyperlink w:anchor="P144" w:history="1">
        <w:r w:rsidRPr="00221F41">
          <w:rPr>
            <w:rFonts w:ascii="Times New Roman" w:eastAsia="Times New Roman" w:hAnsi="Times New Roman" w:cs="Times New Roman"/>
            <w:lang w:eastAsia="ru-RU"/>
          </w:rPr>
          <w:t>п.  2.6.1</w:t>
        </w:r>
      </w:hyperlink>
      <w:r w:rsidRPr="00221F41">
        <w:rPr>
          <w:rFonts w:ascii="Times New Roman" w:eastAsia="Times New Roman" w:hAnsi="Times New Roman" w:cs="Times New Roman"/>
          <w:lang w:eastAsia="ru-RU"/>
        </w:rPr>
        <w:t xml:space="preserve">  настоящего  административного  р</w:t>
      </w:r>
      <w:r w:rsidRPr="00221F41">
        <w:rPr>
          <w:rFonts w:ascii="Times New Roman" w:eastAsia="Times New Roman" w:hAnsi="Times New Roman" w:cs="Times New Roman"/>
          <w:lang w:eastAsia="ru-RU"/>
        </w:rPr>
        <w:t>е</w:t>
      </w:r>
      <w:r w:rsidRPr="00221F41">
        <w:rPr>
          <w:rFonts w:ascii="Times New Roman" w:eastAsia="Times New Roman" w:hAnsi="Times New Roman" w:cs="Times New Roman"/>
          <w:lang w:eastAsia="ru-RU"/>
        </w:rPr>
        <w:t>гламента):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Перечень   документов,   которые  будут  получены  по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межведомстве</w:t>
      </w:r>
      <w:r w:rsidRPr="00221F41">
        <w:rPr>
          <w:rFonts w:ascii="Times New Roman" w:eastAsia="Times New Roman" w:hAnsi="Times New Roman" w:cs="Times New Roman"/>
          <w:lang w:eastAsia="ru-RU"/>
        </w:rPr>
        <w:t>н</w:t>
      </w:r>
      <w:r w:rsidRPr="00221F41">
        <w:rPr>
          <w:rFonts w:ascii="Times New Roman" w:eastAsia="Times New Roman" w:hAnsi="Times New Roman" w:cs="Times New Roman"/>
          <w:lang w:eastAsia="ru-RU"/>
        </w:rPr>
        <w:t>ным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запросам: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   _____________  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(подпись)    (расшифровка подписи)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221F41">
        <w:rPr>
          <w:rFonts w:ascii="Times New Roman" w:eastAsia="Times New Roman" w:hAnsi="Times New Roman" w:cs="Times New Roman"/>
          <w:lang w:eastAsia="ru-RU"/>
        </w:rPr>
        <w:t xml:space="preserve"> за прием документов)</w:t>
      </w:r>
    </w:p>
    <w:p w:rsidR="00F17035" w:rsidRPr="00221F41" w:rsidRDefault="00F17035" w:rsidP="00F17035">
      <w:pPr>
        <w:rPr>
          <w:rFonts w:ascii="Times New Roman" w:hAnsi="Times New Roman" w:cs="Times New Roman"/>
        </w:rPr>
      </w:pPr>
    </w:p>
    <w:sectPr w:rsidR="00F17035" w:rsidRPr="00221F4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64" w:rsidRDefault="009C3464" w:rsidP="00D328E5">
      <w:pPr>
        <w:spacing w:after="0" w:line="240" w:lineRule="auto"/>
      </w:pPr>
      <w:r>
        <w:separator/>
      </w:r>
    </w:p>
  </w:endnote>
  <w:endnote w:type="continuationSeparator" w:id="0">
    <w:p w:rsidR="009C3464" w:rsidRDefault="009C346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64" w:rsidRDefault="009C3464" w:rsidP="00D328E5">
      <w:pPr>
        <w:spacing w:after="0" w:line="240" w:lineRule="auto"/>
      </w:pPr>
      <w:r>
        <w:separator/>
      </w:r>
    </w:p>
  </w:footnote>
  <w:footnote w:type="continuationSeparator" w:id="0">
    <w:p w:rsidR="009C3464" w:rsidRDefault="009C3464" w:rsidP="00D328E5">
      <w:pPr>
        <w:spacing w:after="0" w:line="240" w:lineRule="auto"/>
      </w:pPr>
      <w:r>
        <w:continuationSeparator/>
      </w:r>
    </w:p>
  </w:footnote>
  <w:footnote w:id="1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221F41" w:rsidRPr="00221F41" w:rsidRDefault="00221F41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221F41" w:rsidRPr="00221F41" w:rsidRDefault="00221F41">
      <w:pPr>
        <w:pStyle w:val="ad"/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</w:t>
      </w:r>
      <w:r>
        <w:rPr>
          <w:rFonts w:ascii="Times New Roman" w:hAnsi="Times New Roman" w:cs="Times New Roman"/>
        </w:rPr>
        <w:t>ценки заявителем качества услуги.</w:t>
      </w:r>
    </w:p>
  </w:footnote>
  <w:footnote w:id="4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="00221F41" w:rsidRPr="00221F41">
        <w:rPr>
          <w:rFonts w:ascii="Times New Roman" w:hAnsi="Times New Roman" w:cs="Times New Roman"/>
        </w:rPr>
        <w:t>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221F41" w:rsidRPr="005257FF" w:rsidRDefault="00221F4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221F41" w:rsidRDefault="00221F4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221F41" w:rsidRDefault="00221F41">
      <w:pPr>
        <w:pStyle w:val="ad"/>
      </w:pPr>
      <w:r>
        <w:rPr>
          <w:rStyle w:val="af"/>
        </w:rPr>
        <w:footnoteRef/>
      </w:r>
      <w:r>
        <w:t xml:space="preserve"> </w:t>
      </w:r>
      <w:r w:rsidRPr="00221F4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услугу.</w:t>
      </w:r>
    </w:p>
  </w:footnote>
  <w:footnote w:id="8">
    <w:p w:rsidR="00854C45" w:rsidRPr="00221F41" w:rsidRDefault="00854C45">
      <w:pPr>
        <w:pStyle w:val="ad"/>
      </w:pPr>
      <w:r w:rsidRPr="00221F41">
        <w:rPr>
          <w:rStyle w:val="af"/>
        </w:rPr>
        <w:footnoteRef/>
      </w:r>
      <w:r w:rsidRPr="00221F41">
        <w:t xml:space="preserve"> </w:t>
      </w:r>
      <w:r w:rsidRPr="00221F41">
        <w:rPr>
          <w:rFonts w:ascii="Times New Roman" w:hAnsi="Times New Roman" w:cs="Times New Roman"/>
        </w:rPr>
        <w:t>Исчерпывающий перечень необходимых ресурсов</w:t>
      </w:r>
      <w:r w:rsidR="00221F41" w:rsidRPr="00221F41">
        <w:rPr>
          <w:rFonts w:ascii="Times New Roman" w:hAnsi="Times New Roman" w:cs="Times New Roman"/>
        </w:rPr>
        <w:t xml:space="preserve">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2548F"/>
    <w:rsid w:val="00033240"/>
    <w:rsid w:val="00043FFA"/>
    <w:rsid w:val="00074B2A"/>
    <w:rsid w:val="00077C12"/>
    <w:rsid w:val="00083A57"/>
    <w:rsid w:val="000858A5"/>
    <w:rsid w:val="00094FA6"/>
    <w:rsid w:val="000A11EE"/>
    <w:rsid w:val="000A6CD0"/>
    <w:rsid w:val="000A723F"/>
    <w:rsid w:val="000B40A5"/>
    <w:rsid w:val="000C3183"/>
    <w:rsid w:val="000C69B8"/>
    <w:rsid w:val="000E5FA8"/>
    <w:rsid w:val="000E60D5"/>
    <w:rsid w:val="000E7299"/>
    <w:rsid w:val="001154C7"/>
    <w:rsid w:val="00125DE2"/>
    <w:rsid w:val="001359F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21F41"/>
    <w:rsid w:val="00243F3E"/>
    <w:rsid w:val="002461C6"/>
    <w:rsid w:val="00246D39"/>
    <w:rsid w:val="002516BF"/>
    <w:rsid w:val="002648C8"/>
    <w:rsid w:val="00265A90"/>
    <w:rsid w:val="0027124F"/>
    <w:rsid w:val="00272811"/>
    <w:rsid w:val="00274B39"/>
    <w:rsid w:val="002824AC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63BCB"/>
    <w:rsid w:val="00373516"/>
    <w:rsid w:val="003760D0"/>
    <w:rsid w:val="0038393A"/>
    <w:rsid w:val="00387441"/>
    <w:rsid w:val="003933C3"/>
    <w:rsid w:val="003954C0"/>
    <w:rsid w:val="003A32DA"/>
    <w:rsid w:val="003A779E"/>
    <w:rsid w:val="003B6302"/>
    <w:rsid w:val="003B65D5"/>
    <w:rsid w:val="003B7B6C"/>
    <w:rsid w:val="003C5387"/>
    <w:rsid w:val="003F4C77"/>
    <w:rsid w:val="0040302A"/>
    <w:rsid w:val="0045345B"/>
    <w:rsid w:val="0045735B"/>
    <w:rsid w:val="00457B7F"/>
    <w:rsid w:val="00461BEF"/>
    <w:rsid w:val="00465C77"/>
    <w:rsid w:val="00473136"/>
    <w:rsid w:val="004850E1"/>
    <w:rsid w:val="004938FE"/>
    <w:rsid w:val="004A11D8"/>
    <w:rsid w:val="004C06E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741C3"/>
    <w:rsid w:val="005A1D24"/>
    <w:rsid w:val="005B1D04"/>
    <w:rsid w:val="005B5DC1"/>
    <w:rsid w:val="005E25FA"/>
    <w:rsid w:val="005E3788"/>
    <w:rsid w:val="00621F36"/>
    <w:rsid w:val="00630D0F"/>
    <w:rsid w:val="0063284E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309C"/>
    <w:rsid w:val="00760A78"/>
    <w:rsid w:val="007639AB"/>
    <w:rsid w:val="007775FB"/>
    <w:rsid w:val="00787AA7"/>
    <w:rsid w:val="007A6D2F"/>
    <w:rsid w:val="007D4464"/>
    <w:rsid w:val="007E5B50"/>
    <w:rsid w:val="008128E8"/>
    <w:rsid w:val="008202EC"/>
    <w:rsid w:val="0084228F"/>
    <w:rsid w:val="00843A61"/>
    <w:rsid w:val="00852C2C"/>
    <w:rsid w:val="00854C45"/>
    <w:rsid w:val="008629F4"/>
    <w:rsid w:val="00883DB0"/>
    <w:rsid w:val="00887FFE"/>
    <w:rsid w:val="008971D6"/>
    <w:rsid w:val="008A37AD"/>
    <w:rsid w:val="008A60E5"/>
    <w:rsid w:val="008C734D"/>
    <w:rsid w:val="008D2CC8"/>
    <w:rsid w:val="008D4067"/>
    <w:rsid w:val="008E5BC8"/>
    <w:rsid w:val="008F2BE7"/>
    <w:rsid w:val="008F7586"/>
    <w:rsid w:val="00911AE2"/>
    <w:rsid w:val="00927ABF"/>
    <w:rsid w:val="009477FB"/>
    <w:rsid w:val="009717FA"/>
    <w:rsid w:val="00972397"/>
    <w:rsid w:val="0097416D"/>
    <w:rsid w:val="009777DE"/>
    <w:rsid w:val="00981663"/>
    <w:rsid w:val="009A473A"/>
    <w:rsid w:val="009C3464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7671"/>
    <w:rsid w:val="00B1087A"/>
    <w:rsid w:val="00B355E1"/>
    <w:rsid w:val="00B421BB"/>
    <w:rsid w:val="00B44A5D"/>
    <w:rsid w:val="00B45AED"/>
    <w:rsid w:val="00B47A97"/>
    <w:rsid w:val="00B52E2A"/>
    <w:rsid w:val="00B6741C"/>
    <w:rsid w:val="00B75700"/>
    <w:rsid w:val="00B80E9E"/>
    <w:rsid w:val="00B8471B"/>
    <w:rsid w:val="00BA03C4"/>
    <w:rsid w:val="00BA1F97"/>
    <w:rsid w:val="00BD28FA"/>
    <w:rsid w:val="00BD3B91"/>
    <w:rsid w:val="00BF63E3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CF57FA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81A79"/>
    <w:rsid w:val="00D9199C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095"/>
    <w:rsid w:val="00F10A18"/>
    <w:rsid w:val="00F110A0"/>
    <w:rsid w:val="00F14531"/>
    <w:rsid w:val="00F17035"/>
    <w:rsid w:val="00F2568F"/>
    <w:rsid w:val="00F3004D"/>
    <w:rsid w:val="00F33C30"/>
    <w:rsid w:val="00F35B15"/>
    <w:rsid w:val="00F37FEF"/>
    <w:rsid w:val="00F62AA8"/>
    <w:rsid w:val="00F84DA5"/>
    <w:rsid w:val="00F949DD"/>
    <w:rsid w:val="00FB47D5"/>
    <w:rsid w:val="00FB67BA"/>
    <w:rsid w:val="00FD5847"/>
    <w:rsid w:val="00FD7A45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F58F5DC28C8121E45F7CE25F72D46DBB6169E6EA2C8171C011F6F158C8B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F58F5DC28C8121E45F7CE25F72D46DBB6F66E4EC208171C011F6F15889A346A5664495CAC9B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8DE9-2913-4A3F-A65B-33C3E8C9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33</Pages>
  <Words>5903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UserMFC</cp:lastModifiedBy>
  <cp:revision>90</cp:revision>
  <dcterms:created xsi:type="dcterms:W3CDTF">2015-09-01T14:06:00Z</dcterms:created>
  <dcterms:modified xsi:type="dcterms:W3CDTF">2016-11-23T08:28:00Z</dcterms:modified>
</cp:coreProperties>
</file>